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DF67" w14:textId="3F7219A6" w:rsidR="004B46CC" w:rsidRPr="00682A70" w:rsidRDefault="0046545D" w:rsidP="00682A70">
      <w:pPr>
        <w:pStyle w:val="ListParagraph"/>
        <w:numPr>
          <w:ilvl w:val="0"/>
          <w:numId w:val="7"/>
        </w:numPr>
        <w:tabs>
          <w:tab w:val="left" w:pos="360"/>
        </w:tabs>
        <w:ind w:right="360"/>
        <w:rPr>
          <w:b/>
          <w:bCs/>
          <w:caps/>
          <w:u w:val="single"/>
        </w:rPr>
      </w:pPr>
      <w:r w:rsidRPr="00682A70">
        <w:rPr>
          <w:b/>
          <w:bCs/>
          <w:caps/>
          <w:u w:val="single"/>
        </w:rPr>
        <w:t>use of MES to fund hie services</w:t>
      </w:r>
    </w:p>
    <w:p w14:paraId="4AEE3EB6" w14:textId="3252F5D0" w:rsidR="00CC5CFD" w:rsidRDefault="00CC5CFD" w:rsidP="00CC5CFD">
      <w:pPr>
        <w:tabs>
          <w:tab w:val="left" w:pos="360"/>
        </w:tabs>
        <w:ind w:right="360" w:firstLine="360"/>
        <w:rPr>
          <w:b/>
          <w:bCs/>
          <w:u w:val="single"/>
        </w:rPr>
      </w:pPr>
      <w:r>
        <w:rPr>
          <w:b/>
          <w:bCs/>
          <w:u w:val="single"/>
        </w:rPr>
        <w:t>Background</w:t>
      </w:r>
    </w:p>
    <w:p w14:paraId="078F89D9" w14:textId="1F27FFA1" w:rsidR="00B17AEC" w:rsidRDefault="00F72D48" w:rsidP="004E4283">
      <w:pPr>
        <w:tabs>
          <w:tab w:val="left" w:pos="360"/>
        </w:tabs>
        <w:ind w:left="360" w:right="360"/>
      </w:pPr>
      <w:r w:rsidRPr="00F72D48">
        <w:t xml:space="preserve">We are recommending </w:t>
      </w:r>
      <w:r w:rsidR="004C30A7">
        <w:t>that DHCS use</w:t>
      </w:r>
      <w:r w:rsidRPr="00F72D48">
        <w:t xml:space="preserve"> MES to </w:t>
      </w:r>
      <w:r w:rsidR="004C30A7">
        <w:t>fund</w:t>
      </w:r>
      <w:r w:rsidRPr="00F72D48">
        <w:t xml:space="preserve"> the HIO infrastructure component of our budget request</w:t>
      </w:r>
      <w:r w:rsidR="001C1D2A">
        <w:t>. The state share would be</w:t>
      </w:r>
      <w:r w:rsidR="00B17AEC">
        <w:t xml:space="preserve"> $51 million </w:t>
      </w:r>
      <w:r w:rsidR="009B240E">
        <w:t>(</w:t>
      </w:r>
      <w:r w:rsidR="00B17AEC">
        <w:t xml:space="preserve">of </w:t>
      </w:r>
      <w:r w:rsidR="001C1D2A">
        <w:t xml:space="preserve">the total </w:t>
      </w:r>
      <w:r w:rsidR="00B17AEC">
        <w:t>$95 million general fund requested</w:t>
      </w:r>
      <w:r w:rsidR="009B240E">
        <w:t>)</w:t>
      </w:r>
      <w:r w:rsidR="00B17AEC">
        <w:t xml:space="preserve"> for 2022-23</w:t>
      </w:r>
      <w:r w:rsidR="001C1D2A">
        <w:t>.</w:t>
      </w:r>
      <w:r w:rsidR="00F84E3C">
        <w:t xml:space="preserve"> You requested additional information on how other states are using MES to fund HIE services.</w:t>
      </w:r>
    </w:p>
    <w:p w14:paraId="166DED27" w14:textId="6E13C593" w:rsidR="00FA0955" w:rsidRDefault="007F73A1" w:rsidP="004E4283">
      <w:pPr>
        <w:tabs>
          <w:tab w:val="left" w:pos="360"/>
        </w:tabs>
        <w:ind w:left="360" w:right="360"/>
      </w:pPr>
      <w:hyperlink r:id="rId7" w:history="1">
        <w:r w:rsidR="00402917" w:rsidRPr="00DE03EB">
          <w:rPr>
            <w:rStyle w:val="Hyperlink"/>
          </w:rPr>
          <w:t>State Medicaid Director Letter (SMDL) #22-001</w:t>
        </w:r>
      </w:hyperlink>
      <w:r w:rsidR="00F15960">
        <w:t xml:space="preserve"> </w:t>
      </w:r>
      <w:r w:rsidR="002F2BB7">
        <w:t>“</w:t>
      </w:r>
      <w:r w:rsidR="00086268" w:rsidRPr="00086268">
        <w:t xml:space="preserve">establishes </w:t>
      </w:r>
      <w:r w:rsidR="00086268" w:rsidRPr="00943475">
        <w:t xml:space="preserve">a MES certification process for each modular component system of the MES…the MES represents a system composed of the </w:t>
      </w:r>
      <w:proofErr w:type="gramStart"/>
      <w:r w:rsidR="00086268" w:rsidRPr="00943475">
        <w:t>sum total</w:t>
      </w:r>
      <w:proofErr w:type="gramEnd"/>
      <w:r w:rsidR="00086268" w:rsidRPr="00943475">
        <w:t xml:space="preserve"> of MES modules, which are the discrete Medicaid IT systems or services used by the Medicaid agency to</w:t>
      </w:r>
      <w:r w:rsidR="00086268" w:rsidRPr="00086268">
        <w:t xml:space="preserve"> manage, monitor, and administer the state’s Medicaid program. The MES modules that support a state’s Medicaid operations</w:t>
      </w:r>
      <w:r w:rsidR="00086268">
        <w:t>…</w:t>
      </w:r>
      <w:r w:rsidR="00086268" w:rsidRPr="00D830B4">
        <w:rPr>
          <w:b/>
          <w:bCs/>
        </w:rPr>
        <w:t xml:space="preserve">include </w:t>
      </w:r>
      <w:r w:rsidR="008B1E65" w:rsidRPr="00D830B4">
        <w:rPr>
          <w:b/>
          <w:bCs/>
        </w:rPr>
        <w:t>Health Information Exchange (including patient identification, data standards and security).</w:t>
      </w:r>
      <w:r w:rsidR="008B1E65">
        <w:t>”</w:t>
      </w:r>
      <w:r w:rsidR="00845204">
        <w:t xml:space="preserve"> </w:t>
      </w:r>
    </w:p>
    <w:p w14:paraId="61DEECB0" w14:textId="53F6F69C" w:rsidR="00845204" w:rsidRDefault="00845204" w:rsidP="004E4283">
      <w:pPr>
        <w:tabs>
          <w:tab w:val="left" w:pos="360"/>
        </w:tabs>
        <w:ind w:left="360" w:right="360"/>
      </w:pPr>
      <w:r>
        <w:t xml:space="preserve">The SMDL also </w:t>
      </w:r>
      <w:r w:rsidR="006C1AFF">
        <w:t xml:space="preserve">reiterates that </w:t>
      </w:r>
      <w:r w:rsidR="009D0C0F">
        <w:t xml:space="preserve">each </w:t>
      </w:r>
      <w:r w:rsidR="007C0C99">
        <w:t>state</w:t>
      </w:r>
      <w:r w:rsidR="009D0C0F">
        <w:t>’s</w:t>
      </w:r>
      <w:r w:rsidR="007C0C99">
        <w:t xml:space="preserve"> s</w:t>
      </w:r>
      <w:r w:rsidR="00A669ED" w:rsidRPr="00A669ED">
        <w:t xml:space="preserve">treamlined modular certification for MES </w:t>
      </w:r>
      <w:r w:rsidR="00FE21D0">
        <w:t>must include the following</w:t>
      </w:r>
      <w:r w:rsidR="00C15EE2">
        <w:t xml:space="preserve"> elements</w:t>
      </w:r>
      <w:r w:rsidR="00A669ED" w:rsidRPr="00A669ED">
        <w:t>:</w:t>
      </w:r>
    </w:p>
    <w:p w14:paraId="62D46E24" w14:textId="39D59E75" w:rsidR="00A669ED" w:rsidRDefault="00A669ED" w:rsidP="004E4283">
      <w:pPr>
        <w:pStyle w:val="ListParagraph"/>
        <w:numPr>
          <w:ilvl w:val="0"/>
          <w:numId w:val="3"/>
        </w:numPr>
        <w:tabs>
          <w:tab w:val="left" w:pos="720"/>
        </w:tabs>
        <w:ind w:right="360"/>
      </w:pPr>
      <w:r w:rsidRPr="00572687">
        <w:rPr>
          <w:b/>
          <w:bCs/>
        </w:rPr>
        <w:t>Outcomes</w:t>
      </w:r>
      <w:r w:rsidR="000409CF">
        <w:t xml:space="preserve"> </w:t>
      </w:r>
      <w:r w:rsidR="009A7337" w:rsidRPr="009A7337">
        <w:t>describe the measurable improvements to a state’s Medicaid program that should result from the delivery of a new module or enhancement to an existing module. Outcomes should support Medicaid program priorities</w:t>
      </w:r>
      <w:r w:rsidR="00572687">
        <w:t>.</w:t>
      </w:r>
    </w:p>
    <w:p w14:paraId="71B71B50" w14:textId="77777777" w:rsidR="00572687" w:rsidRDefault="00441374" w:rsidP="004E4283">
      <w:pPr>
        <w:pStyle w:val="ListParagraph"/>
        <w:numPr>
          <w:ilvl w:val="0"/>
          <w:numId w:val="3"/>
        </w:numPr>
        <w:tabs>
          <w:tab w:val="left" w:pos="720"/>
        </w:tabs>
        <w:ind w:right="360"/>
      </w:pPr>
      <w:r w:rsidRPr="00572687">
        <w:rPr>
          <w:b/>
          <w:bCs/>
        </w:rPr>
        <w:t>Metrics</w:t>
      </w:r>
      <w:r w:rsidRPr="00441374">
        <w:t xml:space="preserve"> provide evidence about whether the intended outcomes are achieved through the delivery of a new module or enhancement to an existing module. States must submit operational reports to CMS containing metrics annually</w:t>
      </w:r>
    </w:p>
    <w:p w14:paraId="76BDDA83" w14:textId="57962AE5" w:rsidR="00473E0E" w:rsidRDefault="00FA0955" w:rsidP="00037A5F">
      <w:pPr>
        <w:tabs>
          <w:tab w:val="left" w:pos="360"/>
        </w:tabs>
        <w:ind w:left="360" w:right="360"/>
      </w:pPr>
      <w:r>
        <w:t>“</w:t>
      </w:r>
      <w:r w:rsidRPr="00F20833">
        <w:rPr>
          <w:b/>
          <w:bCs/>
        </w:rPr>
        <w:t>State-specific outcomes</w:t>
      </w:r>
      <w:r w:rsidRPr="00E749A7">
        <w:t xml:space="preserve"> reflect the unique circumstances or characteristics of the state or territory and its Medicaid program and focuses on improvements to the program not specifically addressed by the CMS-required outcomes</w:t>
      </w:r>
      <w:r>
        <w:t>…</w:t>
      </w:r>
      <w:r w:rsidRPr="00E749A7">
        <w:t>Additionally, state-specific outcomes may reflect the unique circumstances or characteristics of the state or territory and its Medicaid program.</w:t>
      </w:r>
      <w:r w:rsidR="00055529">
        <w:t>”</w:t>
      </w:r>
    </w:p>
    <w:p w14:paraId="0030498C" w14:textId="366D5A27" w:rsidR="005704EA" w:rsidRDefault="003F7F50" w:rsidP="00C31EBE">
      <w:pPr>
        <w:tabs>
          <w:tab w:val="left" w:pos="360"/>
        </w:tabs>
        <w:ind w:left="360" w:right="360"/>
      </w:pPr>
      <w:r>
        <w:t>CMS maintains a</w:t>
      </w:r>
      <w:r w:rsidR="003B1A39">
        <w:t xml:space="preserve">n </w:t>
      </w:r>
      <w:hyperlink r:id="rId8" w:history="1">
        <w:r w:rsidR="003B1A39" w:rsidRPr="007942B6">
          <w:rPr>
            <w:rStyle w:val="Hyperlink"/>
          </w:rPr>
          <w:t xml:space="preserve">MES </w:t>
        </w:r>
        <w:r w:rsidRPr="007942B6">
          <w:rPr>
            <w:rStyle w:val="Hyperlink"/>
          </w:rPr>
          <w:t>Certification Repository</w:t>
        </w:r>
      </w:hyperlink>
      <w:r>
        <w:t xml:space="preserve"> </w:t>
      </w:r>
      <w:r w:rsidR="007942B6">
        <w:t>and within th</w:t>
      </w:r>
      <w:r w:rsidR="007E7C2C">
        <w:t>at resource,</w:t>
      </w:r>
      <w:r w:rsidR="007942B6">
        <w:t xml:space="preserve"> a</w:t>
      </w:r>
      <w:r w:rsidR="006D720A">
        <w:t xml:space="preserve"> subpage </w:t>
      </w:r>
      <w:r w:rsidR="0096785B">
        <w:t>devoted to</w:t>
      </w:r>
      <w:r w:rsidR="006D720A">
        <w:t xml:space="preserve"> the </w:t>
      </w:r>
      <w:hyperlink r:id="rId9" w:history="1">
        <w:r w:rsidR="00B502BA" w:rsidRPr="00B502BA">
          <w:rPr>
            <w:rStyle w:val="Hyperlink"/>
          </w:rPr>
          <w:t xml:space="preserve">Health </w:t>
        </w:r>
        <w:r w:rsidR="006D720A" w:rsidRPr="00B502BA">
          <w:rPr>
            <w:rStyle w:val="Hyperlink"/>
          </w:rPr>
          <w:t>I</w:t>
        </w:r>
        <w:r w:rsidR="00B502BA" w:rsidRPr="00B502BA">
          <w:rPr>
            <w:rStyle w:val="Hyperlink"/>
          </w:rPr>
          <w:t>nformation Exchange</w:t>
        </w:r>
        <w:r w:rsidR="006D720A" w:rsidRPr="00B502BA">
          <w:rPr>
            <w:rStyle w:val="Hyperlink"/>
          </w:rPr>
          <w:t xml:space="preserve"> </w:t>
        </w:r>
        <w:r w:rsidR="001B2BFC" w:rsidRPr="00B502BA">
          <w:rPr>
            <w:rStyle w:val="Hyperlink"/>
          </w:rPr>
          <w:t xml:space="preserve">MES </w:t>
        </w:r>
        <w:r w:rsidR="00727D2D">
          <w:rPr>
            <w:rStyle w:val="Hyperlink"/>
          </w:rPr>
          <w:t>b</w:t>
        </w:r>
        <w:r w:rsidR="001B2BFC" w:rsidRPr="00B502BA">
          <w:rPr>
            <w:rStyle w:val="Hyperlink"/>
          </w:rPr>
          <w:t xml:space="preserve">usiness </w:t>
        </w:r>
        <w:r w:rsidR="00727D2D">
          <w:rPr>
            <w:rStyle w:val="Hyperlink"/>
          </w:rPr>
          <w:t>a</w:t>
        </w:r>
        <w:r w:rsidR="001B2BFC" w:rsidRPr="00B502BA">
          <w:rPr>
            <w:rStyle w:val="Hyperlink"/>
          </w:rPr>
          <w:t>rea/</w:t>
        </w:r>
        <w:r w:rsidR="00727D2D">
          <w:rPr>
            <w:rStyle w:val="Hyperlink"/>
          </w:rPr>
          <w:t>m</w:t>
        </w:r>
        <w:r w:rsidR="001B2BFC" w:rsidRPr="00B502BA">
          <w:rPr>
            <w:rStyle w:val="Hyperlink"/>
          </w:rPr>
          <w:t>odule</w:t>
        </w:r>
      </w:hyperlink>
      <w:r w:rsidR="007E7C2C">
        <w:t>.</w:t>
      </w:r>
      <w:r w:rsidR="00B9234C" w:rsidRPr="00B9234C">
        <w:t xml:space="preserve"> </w:t>
      </w:r>
      <w:r w:rsidR="00B9234C">
        <w:t xml:space="preserve">Because there are “no CMS-Required outcomes for HIE, </w:t>
      </w:r>
      <w:r w:rsidR="00B9234C" w:rsidRPr="00A31570">
        <w:rPr>
          <w:b/>
          <w:bCs/>
        </w:rPr>
        <w:t>for an HIE system to be certified states will need to create or reuse State-Specific Outcomes which target state-specific problems and derive Medicaid program benefits</w:t>
      </w:r>
      <w:r w:rsidR="00B9234C">
        <w:t>.”</w:t>
      </w:r>
      <w:r w:rsidR="007E7C2C">
        <w:t xml:space="preserve"> The purpose of </w:t>
      </w:r>
      <w:r w:rsidR="00CE4705">
        <w:t>CMS</w:t>
      </w:r>
      <w:r w:rsidR="002C28B6">
        <w:t>’</w:t>
      </w:r>
      <w:r w:rsidR="007E7C2C">
        <w:t xml:space="preserve"> r</w:t>
      </w:r>
      <w:r w:rsidR="00B76F8F">
        <w:t xml:space="preserve">epository </w:t>
      </w:r>
      <w:r w:rsidR="007E7C2C">
        <w:t>is to</w:t>
      </w:r>
      <w:r>
        <w:t xml:space="preserve"> “</w:t>
      </w:r>
      <w:r w:rsidRPr="006F63A0">
        <w:t>collect and share the best example</w:t>
      </w:r>
      <w:r>
        <w:t>s” of state-specific outcomes statement</w:t>
      </w:r>
      <w:r w:rsidR="00522248">
        <w:t>s</w:t>
      </w:r>
      <w:r>
        <w:t xml:space="preserve"> for the </w:t>
      </w:r>
      <w:r w:rsidR="003803FA">
        <w:t>HIE module</w:t>
      </w:r>
      <w:r>
        <w:t xml:space="preserve">. </w:t>
      </w:r>
    </w:p>
    <w:p w14:paraId="11B69920" w14:textId="77777777" w:rsidR="00CC5CFD" w:rsidRDefault="00CC5CFD" w:rsidP="004E4283">
      <w:pPr>
        <w:tabs>
          <w:tab w:val="left" w:pos="360"/>
        </w:tabs>
        <w:ind w:left="360" w:right="360"/>
      </w:pPr>
      <w:r w:rsidRPr="004E4283">
        <w:rPr>
          <w:b/>
          <w:bCs/>
          <w:u w:val="single"/>
        </w:rPr>
        <w:t>State examples</w:t>
      </w:r>
      <w:r>
        <w:t xml:space="preserve"> </w:t>
      </w:r>
    </w:p>
    <w:p w14:paraId="3BE8304C" w14:textId="4BD0B7FD" w:rsidR="005704EA" w:rsidRDefault="002007E1" w:rsidP="003B063A">
      <w:pPr>
        <w:tabs>
          <w:tab w:val="left" w:pos="360"/>
        </w:tabs>
        <w:spacing w:after="120"/>
        <w:ind w:left="360" w:right="360"/>
      </w:pPr>
      <w:r>
        <w:t>Per that repository, t</w:t>
      </w:r>
      <w:r w:rsidR="00AC7FEB">
        <w:t>h</w:t>
      </w:r>
      <w:r w:rsidR="005704EA">
        <w:t xml:space="preserve">e two HIE “modules” most often </w:t>
      </w:r>
      <w:r w:rsidR="00642620">
        <w:t>certified by states</w:t>
      </w:r>
      <w:r w:rsidR="003B063A">
        <w:t xml:space="preserve"> </w:t>
      </w:r>
      <w:r w:rsidR="00642620">
        <w:t>are:</w:t>
      </w:r>
      <w:r w:rsidR="005704EA">
        <w:t xml:space="preserve"> </w:t>
      </w:r>
    </w:p>
    <w:p w14:paraId="5812CC2A" w14:textId="66DDD4EA" w:rsidR="005704EA" w:rsidRDefault="005D7ED4" w:rsidP="00C31EBE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ind w:right="360"/>
      </w:pPr>
      <w:r w:rsidRPr="003270C6">
        <w:rPr>
          <w:b/>
          <w:bCs/>
        </w:rPr>
        <w:t>Longitudinal Patient Records</w:t>
      </w:r>
      <w:r w:rsidR="00642620">
        <w:t xml:space="preserve"> </w:t>
      </w:r>
      <w:r w:rsidR="00744FD9">
        <w:t>–</w:t>
      </w:r>
      <w:r w:rsidR="002D6F89">
        <w:t xml:space="preserve"> </w:t>
      </w:r>
      <w:r w:rsidR="00C31EBE">
        <w:t xml:space="preserve">The HIE </w:t>
      </w:r>
      <w:r w:rsidR="00744FD9">
        <w:t>aggregate</w:t>
      </w:r>
      <w:r w:rsidR="00C31EBE">
        <w:t>s</w:t>
      </w:r>
      <w:r w:rsidR="00744FD9">
        <w:t xml:space="preserve"> data from many sources to produce </w:t>
      </w:r>
      <w:r w:rsidR="00241B72">
        <w:t>unified</w:t>
      </w:r>
      <w:r w:rsidR="00657379">
        <w:t xml:space="preserve"> patient health histor</w:t>
      </w:r>
      <w:r w:rsidR="00744FD9">
        <w:t>ies</w:t>
      </w:r>
      <w:r w:rsidR="00241B72">
        <w:t xml:space="preserve">, </w:t>
      </w:r>
      <w:r w:rsidR="009A0F2C">
        <w:t>made</w:t>
      </w:r>
      <w:r w:rsidR="00C31EBE">
        <w:t xml:space="preserve"> available</w:t>
      </w:r>
      <w:r w:rsidR="00744FD9">
        <w:t xml:space="preserve"> </w:t>
      </w:r>
      <w:r w:rsidR="00241B72">
        <w:t xml:space="preserve">on </w:t>
      </w:r>
      <w:r w:rsidR="009A0F2C">
        <w:t xml:space="preserve">a </w:t>
      </w:r>
      <w:r w:rsidR="00241B72">
        <w:t>portal</w:t>
      </w:r>
      <w:r w:rsidR="002A6B7D">
        <w:t xml:space="preserve"> and </w:t>
      </w:r>
      <w:r w:rsidR="00744FD9">
        <w:t xml:space="preserve">sometimes </w:t>
      </w:r>
      <w:r w:rsidR="002A6B7D">
        <w:t xml:space="preserve">through </w:t>
      </w:r>
      <w:r w:rsidR="003270C6">
        <w:t xml:space="preserve">bulk </w:t>
      </w:r>
      <w:r w:rsidR="002A6B7D">
        <w:t>data feeds</w:t>
      </w:r>
    </w:p>
    <w:p w14:paraId="5BEC3BB8" w14:textId="769F2629" w:rsidR="006F63A0" w:rsidRPr="00772FC2" w:rsidRDefault="00A919B6" w:rsidP="00C31EBE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ind w:right="360"/>
        <w:rPr>
          <w:sz w:val="20"/>
          <w:szCs w:val="20"/>
        </w:rPr>
      </w:pPr>
      <w:r w:rsidRPr="003270C6">
        <w:rPr>
          <w:b/>
          <w:bCs/>
        </w:rPr>
        <w:t xml:space="preserve">Event </w:t>
      </w:r>
      <w:r w:rsidR="00BB00FA" w:rsidRPr="003270C6">
        <w:rPr>
          <w:b/>
          <w:bCs/>
        </w:rPr>
        <w:t>N</w:t>
      </w:r>
      <w:r w:rsidR="00E3312A" w:rsidRPr="003270C6">
        <w:rPr>
          <w:b/>
          <w:bCs/>
        </w:rPr>
        <w:t>otification</w:t>
      </w:r>
      <w:r w:rsidR="00CF3EE4" w:rsidRPr="003270C6">
        <w:rPr>
          <w:b/>
          <w:bCs/>
        </w:rPr>
        <w:t>s</w:t>
      </w:r>
      <w:r w:rsidR="00CF3EE4">
        <w:t xml:space="preserve"> </w:t>
      </w:r>
      <w:r w:rsidR="00744FD9">
        <w:t xml:space="preserve">– </w:t>
      </w:r>
      <w:r w:rsidR="00C31EBE" w:rsidRPr="009A0F2C">
        <w:t xml:space="preserve">The HIE </w:t>
      </w:r>
      <w:r w:rsidR="00744FD9" w:rsidRPr="009A0F2C">
        <w:t>integrate</w:t>
      </w:r>
      <w:r w:rsidR="00C31EBE" w:rsidRPr="009A0F2C">
        <w:t>s</w:t>
      </w:r>
      <w:r w:rsidR="00744FD9" w:rsidRPr="009A0F2C">
        <w:t xml:space="preserve"> hospital admit, discharge and transfer data</w:t>
      </w:r>
      <w:r w:rsidR="00DC590D" w:rsidRPr="009A0F2C">
        <w:t>, attribute</w:t>
      </w:r>
      <w:r w:rsidR="00C31EBE" w:rsidRPr="009A0F2C">
        <w:t>s</w:t>
      </w:r>
      <w:r w:rsidR="00DC590D" w:rsidRPr="009A0F2C">
        <w:t xml:space="preserve"> </w:t>
      </w:r>
      <w:r w:rsidR="004A6205">
        <w:t>the data</w:t>
      </w:r>
      <w:r w:rsidR="00DC590D" w:rsidRPr="009A0F2C">
        <w:t xml:space="preserve"> to </w:t>
      </w:r>
      <w:r w:rsidR="00BB00FA" w:rsidRPr="009A0F2C">
        <w:t>patient panels</w:t>
      </w:r>
      <w:r w:rsidR="00744FD9" w:rsidRPr="009A0F2C">
        <w:t xml:space="preserve"> and push</w:t>
      </w:r>
      <w:r w:rsidR="00C31EBE" w:rsidRPr="009A0F2C">
        <w:t>es</w:t>
      </w:r>
      <w:r w:rsidR="00744FD9" w:rsidRPr="009A0F2C">
        <w:t xml:space="preserve"> out hospital encounter alerts to PCPs, </w:t>
      </w:r>
      <w:r w:rsidR="00DC590D" w:rsidRPr="009A0F2C">
        <w:t>MCOs and other recipients</w:t>
      </w:r>
      <w:r w:rsidR="00DC590D" w:rsidRPr="00772FC2">
        <w:rPr>
          <w:sz w:val="20"/>
          <w:szCs w:val="20"/>
        </w:rPr>
        <w:t xml:space="preserve"> </w:t>
      </w:r>
      <w:r w:rsidR="00744FD9" w:rsidRPr="00772FC2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077"/>
        <w:gridCol w:w="2963"/>
        <w:gridCol w:w="4950"/>
      </w:tblGrid>
      <w:tr w:rsidR="004E4283" w:rsidRPr="00772FC2" w14:paraId="408964DE" w14:textId="77777777" w:rsidTr="004E4283">
        <w:tc>
          <w:tcPr>
            <w:tcW w:w="2077" w:type="dxa"/>
          </w:tcPr>
          <w:p w14:paraId="512068E1" w14:textId="77777777" w:rsidR="004E4283" w:rsidRPr="00772FC2" w:rsidRDefault="004E4283" w:rsidP="004E4283">
            <w:pPr>
              <w:ind w:right="360"/>
              <w:rPr>
                <w:b/>
                <w:bCs/>
                <w:sz w:val="20"/>
                <w:szCs w:val="20"/>
              </w:rPr>
            </w:pPr>
            <w:r w:rsidRPr="00772FC2">
              <w:rPr>
                <w:b/>
                <w:bCs/>
                <w:sz w:val="20"/>
                <w:szCs w:val="20"/>
              </w:rPr>
              <w:t>HIE Module</w:t>
            </w:r>
          </w:p>
        </w:tc>
        <w:tc>
          <w:tcPr>
            <w:tcW w:w="2963" w:type="dxa"/>
          </w:tcPr>
          <w:p w14:paraId="6364681D" w14:textId="7BD84310" w:rsidR="004E4283" w:rsidRPr="00772FC2" w:rsidRDefault="004E4283" w:rsidP="004E4283">
            <w:pPr>
              <w:tabs>
                <w:tab w:val="left" w:pos="-24"/>
              </w:tabs>
              <w:ind w:left="-24" w:right="360"/>
              <w:rPr>
                <w:b/>
                <w:bCs/>
                <w:sz w:val="20"/>
                <w:szCs w:val="20"/>
              </w:rPr>
            </w:pPr>
            <w:r w:rsidRPr="00772FC2">
              <w:rPr>
                <w:b/>
                <w:bCs/>
                <w:sz w:val="20"/>
                <w:szCs w:val="20"/>
              </w:rPr>
              <w:t xml:space="preserve">States that have certified this type of module </w:t>
            </w:r>
          </w:p>
        </w:tc>
        <w:tc>
          <w:tcPr>
            <w:tcW w:w="4950" w:type="dxa"/>
          </w:tcPr>
          <w:p w14:paraId="1DFAFB5A" w14:textId="77777777" w:rsidR="004E4283" w:rsidRPr="00772FC2" w:rsidRDefault="004E4283" w:rsidP="004E4283">
            <w:pPr>
              <w:tabs>
                <w:tab w:val="left" w:pos="0"/>
              </w:tabs>
              <w:ind w:right="360"/>
              <w:rPr>
                <w:b/>
                <w:bCs/>
                <w:sz w:val="20"/>
                <w:szCs w:val="20"/>
              </w:rPr>
            </w:pPr>
            <w:r w:rsidRPr="00772FC2">
              <w:rPr>
                <w:b/>
                <w:bCs/>
                <w:sz w:val="20"/>
                <w:szCs w:val="20"/>
              </w:rPr>
              <w:t>Sample outcome metrics</w:t>
            </w:r>
          </w:p>
        </w:tc>
      </w:tr>
      <w:tr w:rsidR="004E4283" w:rsidRPr="00772FC2" w14:paraId="25E26F7C" w14:textId="77777777" w:rsidTr="004E4283">
        <w:tc>
          <w:tcPr>
            <w:tcW w:w="2077" w:type="dxa"/>
          </w:tcPr>
          <w:p w14:paraId="71EF62D3" w14:textId="77777777" w:rsidR="004E4283" w:rsidRPr="00772FC2" w:rsidRDefault="004E4283" w:rsidP="004E4283">
            <w:pPr>
              <w:ind w:right="360"/>
              <w:rPr>
                <w:sz w:val="20"/>
                <w:szCs w:val="20"/>
              </w:rPr>
            </w:pPr>
            <w:r w:rsidRPr="00772FC2">
              <w:rPr>
                <w:sz w:val="20"/>
                <w:szCs w:val="20"/>
              </w:rPr>
              <w:t>Longitudinal Patient Records</w:t>
            </w:r>
          </w:p>
        </w:tc>
        <w:tc>
          <w:tcPr>
            <w:tcW w:w="2963" w:type="dxa"/>
          </w:tcPr>
          <w:p w14:paraId="07AF321D" w14:textId="77777777" w:rsidR="004E4283" w:rsidRPr="00772FC2" w:rsidRDefault="004E4283" w:rsidP="004E4283">
            <w:pPr>
              <w:tabs>
                <w:tab w:val="left" w:pos="-24"/>
              </w:tabs>
              <w:ind w:left="-24" w:right="360"/>
              <w:rPr>
                <w:sz w:val="20"/>
                <w:szCs w:val="20"/>
              </w:rPr>
            </w:pPr>
            <w:r w:rsidRPr="00772FC2">
              <w:rPr>
                <w:sz w:val="20"/>
                <w:szCs w:val="20"/>
              </w:rPr>
              <w:t>Alabama, Kentucky, North Dakota, Rhode Island, Wyoming</w:t>
            </w:r>
          </w:p>
        </w:tc>
        <w:tc>
          <w:tcPr>
            <w:tcW w:w="4950" w:type="dxa"/>
          </w:tcPr>
          <w:p w14:paraId="672246F1" w14:textId="77777777" w:rsidR="004E4283" w:rsidRPr="00772FC2" w:rsidRDefault="004E4283" w:rsidP="004E4283">
            <w:pPr>
              <w:tabs>
                <w:tab w:val="left" w:pos="0"/>
              </w:tabs>
              <w:ind w:right="360"/>
              <w:rPr>
                <w:sz w:val="20"/>
                <w:szCs w:val="20"/>
              </w:rPr>
            </w:pPr>
            <w:r w:rsidRPr="00772FC2">
              <w:rPr>
                <w:sz w:val="20"/>
                <w:szCs w:val="20"/>
              </w:rPr>
              <w:t>Number of Medicaid patients with longitudinal records in the HIE system</w:t>
            </w:r>
          </w:p>
          <w:p w14:paraId="29088589" w14:textId="77777777" w:rsidR="004E4283" w:rsidRPr="00772FC2" w:rsidRDefault="004E4283" w:rsidP="004E4283">
            <w:pPr>
              <w:tabs>
                <w:tab w:val="left" w:pos="0"/>
              </w:tabs>
              <w:ind w:right="360"/>
              <w:rPr>
                <w:sz w:val="20"/>
                <w:szCs w:val="20"/>
              </w:rPr>
            </w:pPr>
          </w:p>
          <w:p w14:paraId="46F7A785" w14:textId="77777777" w:rsidR="004E4283" w:rsidRPr="00772FC2" w:rsidRDefault="004E4283" w:rsidP="004E4283">
            <w:pPr>
              <w:tabs>
                <w:tab w:val="left" w:pos="0"/>
              </w:tabs>
              <w:ind w:right="360"/>
              <w:rPr>
                <w:sz w:val="20"/>
                <w:szCs w:val="20"/>
              </w:rPr>
            </w:pPr>
            <w:r w:rsidRPr="00772FC2">
              <w:rPr>
                <w:sz w:val="20"/>
                <w:szCs w:val="20"/>
              </w:rPr>
              <w:t>The number of ADTs, labs, radiology reports and transcribed notes submitted to the HIE system</w:t>
            </w:r>
          </w:p>
        </w:tc>
      </w:tr>
      <w:tr w:rsidR="004E4283" w:rsidRPr="00772FC2" w14:paraId="1EC03147" w14:textId="77777777" w:rsidTr="004E4283">
        <w:tc>
          <w:tcPr>
            <w:tcW w:w="2077" w:type="dxa"/>
          </w:tcPr>
          <w:p w14:paraId="7ADBBD89" w14:textId="77777777" w:rsidR="004E4283" w:rsidRPr="00772FC2" w:rsidRDefault="004E4283" w:rsidP="004E4283">
            <w:pPr>
              <w:ind w:right="360"/>
              <w:rPr>
                <w:sz w:val="20"/>
                <w:szCs w:val="20"/>
              </w:rPr>
            </w:pPr>
            <w:r w:rsidRPr="00772FC2">
              <w:rPr>
                <w:sz w:val="20"/>
                <w:szCs w:val="20"/>
              </w:rPr>
              <w:t>Event Notifications</w:t>
            </w:r>
          </w:p>
        </w:tc>
        <w:tc>
          <w:tcPr>
            <w:tcW w:w="2963" w:type="dxa"/>
          </w:tcPr>
          <w:p w14:paraId="5B033AA3" w14:textId="77777777" w:rsidR="004E4283" w:rsidRPr="00772FC2" w:rsidRDefault="004E4283" w:rsidP="004E4283">
            <w:pPr>
              <w:tabs>
                <w:tab w:val="left" w:pos="-24"/>
              </w:tabs>
              <w:ind w:left="-24" w:right="360"/>
              <w:rPr>
                <w:sz w:val="20"/>
                <w:szCs w:val="20"/>
              </w:rPr>
            </w:pPr>
            <w:r w:rsidRPr="00772FC2">
              <w:rPr>
                <w:sz w:val="20"/>
                <w:szCs w:val="20"/>
              </w:rPr>
              <w:t>Alabama, Arkansas, DC, Kentucky, Maryland, Oregon, Rhode Island, Wyoming</w:t>
            </w:r>
          </w:p>
        </w:tc>
        <w:tc>
          <w:tcPr>
            <w:tcW w:w="4950" w:type="dxa"/>
          </w:tcPr>
          <w:p w14:paraId="25ED6173" w14:textId="77777777" w:rsidR="004E4283" w:rsidRPr="00772FC2" w:rsidRDefault="004E4283" w:rsidP="004E4283">
            <w:pPr>
              <w:tabs>
                <w:tab w:val="left" w:pos="0"/>
              </w:tabs>
              <w:ind w:right="360"/>
              <w:rPr>
                <w:i/>
                <w:iCs/>
                <w:sz w:val="20"/>
                <w:szCs w:val="20"/>
              </w:rPr>
            </w:pPr>
            <w:r w:rsidRPr="00772FC2">
              <w:rPr>
                <w:sz w:val="20"/>
                <w:szCs w:val="20"/>
              </w:rPr>
              <w:t xml:space="preserve">Monthly count of ADT messages sent by HIE event notification system for Medicaid members </w:t>
            </w:r>
          </w:p>
        </w:tc>
      </w:tr>
    </w:tbl>
    <w:p w14:paraId="6DB76742" w14:textId="77777777" w:rsidR="00704C7D" w:rsidRPr="00772FC2" w:rsidRDefault="00704C7D" w:rsidP="00DA3398">
      <w:pPr>
        <w:tabs>
          <w:tab w:val="left" w:pos="360"/>
        </w:tabs>
        <w:ind w:left="360" w:right="360"/>
        <w:rPr>
          <w:sz w:val="20"/>
          <w:szCs w:val="20"/>
        </w:rPr>
      </w:pPr>
    </w:p>
    <w:p w14:paraId="3DFC1282" w14:textId="24BD0E92" w:rsidR="006874ED" w:rsidRDefault="006874ED" w:rsidP="006874ED">
      <w:pPr>
        <w:tabs>
          <w:tab w:val="left" w:pos="360"/>
        </w:tabs>
        <w:ind w:left="360" w:right="360"/>
      </w:pPr>
      <w:r>
        <w:lastRenderedPageBreak/>
        <w:t xml:space="preserve">Rather than certifying multiple services and components, many states certify one or two overarching HIE modules, bundling the needed infrastructure components (building and maintaining </w:t>
      </w:r>
      <w:r w:rsidR="005101AF">
        <w:t xml:space="preserve">inbound and outbound </w:t>
      </w:r>
      <w:r>
        <w:t>data feeds, clinical data repository</w:t>
      </w:r>
      <w:r w:rsidR="005101AF">
        <w:t xml:space="preserve"> and data warehouse</w:t>
      </w:r>
      <w:r>
        <w:t>, patient matching, portal, cleaning and de-duplicating data, data storage, security) into this overall service.</w:t>
      </w:r>
    </w:p>
    <w:p w14:paraId="35CC8A82" w14:textId="1A215B67" w:rsidR="00BA2065" w:rsidRDefault="003526AF" w:rsidP="006874ED">
      <w:pPr>
        <w:tabs>
          <w:tab w:val="left" w:pos="360"/>
        </w:tabs>
        <w:ind w:left="360" w:right="360"/>
      </w:pPr>
      <w:r>
        <w:t>Overall, t</w:t>
      </w:r>
      <w:r w:rsidR="00646714">
        <w:t xml:space="preserve">he two </w:t>
      </w:r>
      <w:r w:rsidR="004A6205">
        <w:t xml:space="preserve">most common HIE </w:t>
      </w:r>
      <w:r w:rsidR="007677E8">
        <w:t>modules</w:t>
      </w:r>
      <w:r w:rsidR="00646714">
        <w:t xml:space="preserve"> are </w:t>
      </w:r>
      <w:r w:rsidR="00BD2CAE">
        <w:t xml:space="preserve">well </w:t>
      </w:r>
      <w:r w:rsidR="00704C7D">
        <w:t>aligned</w:t>
      </w:r>
      <w:r w:rsidR="00646714">
        <w:t xml:space="preserve"> with </w:t>
      </w:r>
      <w:r w:rsidR="00FD4AC6">
        <w:t xml:space="preserve">Medi-Cal </w:t>
      </w:r>
      <w:r w:rsidR="00646714">
        <w:t xml:space="preserve">needs </w:t>
      </w:r>
      <w:r w:rsidR="00375C34">
        <w:t>for</w:t>
      </w:r>
      <w:r w:rsidR="00646714">
        <w:t xml:space="preserve"> Cal-AIM</w:t>
      </w:r>
      <w:r w:rsidR="00375C34">
        <w:t>, quality improvement</w:t>
      </w:r>
      <w:r w:rsidR="00EB4C64">
        <w:t xml:space="preserve"> and population health</w:t>
      </w:r>
      <w:r w:rsidR="00044E23">
        <w:t xml:space="preserve"> </w:t>
      </w:r>
      <w:r w:rsidR="00EB4C64">
        <w:t xml:space="preserve">management </w:t>
      </w:r>
      <w:r w:rsidR="00044E23">
        <w:t xml:space="preserve">and with the </w:t>
      </w:r>
      <w:r w:rsidR="00BD2CAE">
        <w:t>capabilities of</w:t>
      </w:r>
      <w:r w:rsidR="00044E23">
        <w:t xml:space="preserve"> our state’s HIOs</w:t>
      </w:r>
      <w:r w:rsidR="008D623D"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430"/>
        <w:gridCol w:w="7650"/>
      </w:tblGrid>
      <w:tr w:rsidR="00694538" w:rsidRPr="00477C7B" w14:paraId="61D9BE1D" w14:textId="77777777" w:rsidTr="00BF0155">
        <w:tc>
          <w:tcPr>
            <w:tcW w:w="2430" w:type="dxa"/>
          </w:tcPr>
          <w:p w14:paraId="222BA422" w14:textId="36C7EA59" w:rsidR="00694538" w:rsidRPr="00477C7B" w:rsidRDefault="00694538" w:rsidP="00FA1E49">
            <w:pPr>
              <w:tabs>
                <w:tab w:val="left" w:pos="360"/>
              </w:tabs>
              <w:ind w:left="360" w:right="360" w:hanging="360"/>
              <w:rPr>
                <w:b/>
                <w:bCs/>
                <w:sz w:val="20"/>
                <w:szCs w:val="20"/>
              </w:rPr>
            </w:pPr>
            <w:r w:rsidRPr="00477C7B">
              <w:rPr>
                <w:b/>
                <w:bCs/>
                <w:sz w:val="20"/>
                <w:szCs w:val="20"/>
              </w:rPr>
              <w:t>HIE Module</w:t>
            </w:r>
          </w:p>
        </w:tc>
        <w:tc>
          <w:tcPr>
            <w:tcW w:w="7650" w:type="dxa"/>
          </w:tcPr>
          <w:p w14:paraId="7F447601" w14:textId="6499E8B0" w:rsidR="00694538" w:rsidRPr="00477C7B" w:rsidRDefault="00A77F2E" w:rsidP="00704C7D">
            <w:pPr>
              <w:tabs>
                <w:tab w:val="left" w:pos="252"/>
              </w:tabs>
              <w:ind w:left="252" w:right="360" w:hanging="252"/>
              <w:rPr>
                <w:b/>
                <w:bCs/>
                <w:sz w:val="20"/>
                <w:szCs w:val="20"/>
              </w:rPr>
            </w:pPr>
            <w:r w:rsidRPr="00477C7B">
              <w:rPr>
                <w:b/>
                <w:bCs/>
                <w:sz w:val="20"/>
                <w:szCs w:val="20"/>
              </w:rPr>
              <w:t>Needed</w:t>
            </w:r>
            <w:r w:rsidR="00694538" w:rsidRPr="00477C7B">
              <w:rPr>
                <w:b/>
                <w:bCs/>
                <w:sz w:val="20"/>
                <w:szCs w:val="20"/>
              </w:rPr>
              <w:t xml:space="preserve"> for this Medi-Cal priority/function</w:t>
            </w:r>
          </w:p>
        </w:tc>
      </w:tr>
      <w:tr w:rsidR="00694538" w:rsidRPr="00477C7B" w14:paraId="25DB896C" w14:textId="77777777" w:rsidTr="00BF0155">
        <w:tc>
          <w:tcPr>
            <w:tcW w:w="2430" w:type="dxa"/>
          </w:tcPr>
          <w:p w14:paraId="795F3680" w14:textId="2134A8D0" w:rsidR="00694538" w:rsidRPr="00477C7B" w:rsidRDefault="00694538" w:rsidP="00BF0155">
            <w:pPr>
              <w:tabs>
                <w:tab w:val="left" w:pos="0"/>
              </w:tabs>
              <w:ind w:left="-18" w:right="360"/>
              <w:rPr>
                <w:sz w:val="20"/>
                <w:szCs w:val="20"/>
              </w:rPr>
            </w:pPr>
            <w:r w:rsidRPr="00477C7B">
              <w:rPr>
                <w:sz w:val="20"/>
                <w:szCs w:val="20"/>
              </w:rPr>
              <w:t>Longitudinal patient records</w:t>
            </w:r>
          </w:p>
        </w:tc>
        <w:tc>
          <w:tcPr>
            <w:tcW w:w="7650" w:type="dxa"/>
          </w:tcPr>
          <w:p w14:paraId="4A2C5A0A" w14:textId="6DDC74C7" w:rsidR="00CE783A" w:rsidRPr="00477C7B" w:rsidRDefault="0053662A" w:rsidP="00704C7D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right="360" w:hanging="252"/>
              <w:rPr>
                <w:sz w:val="20"/>
                <w:szCs w:val="20"/>
              </w:rPr>
            </w:pPr>
            <w:r w:rsidRPr="00477C7B">
              <w:rPr>
                <w:sz w:val="20"/>
                <w:szCs w:val="20"/>
              </w:rPr>
              <w:t>Clinical d</w:t>
            </w:r>
            <w:r w:rsidR="00CE783A" w:rsidRPr="00477C7B">
              <w:rPr>
                <w:sz w:val="20"/>
                <w:szCs w:val="20"/>
              </w:rPr>
              <w:t xml:space="preserve">ata needed </w:t>
            </w:r>
            <w:r w:rsidR="007F01EA" w:rsidRPr="00477C7B">
              <w:rPr>
                <w:sz w:val="20"/>
                <w:szCs w:val="20"/>
              </w:rPr>
              <w:t xml:space="preserve">for population health management </w:t>
            </w:r>
            <w:r w:rsidR="00F22436" w:rsidRPr="00477C7B">
              <w:rPr>
                <w:sz w:val="20"/>
                <w:szCs w:val="20"/>
              </w:rPr>
              <w:t>(</w:t>
            </w:r>
            <w:r w:rsidR="008D623D">
              <w:rPr>
                <w:sz w:val="20"/>
                <w:szCs w:val="20"/>
              </w:rPr>
              <w:t xml:space="preserve">to </w:t>
            </w:r>
            <w:r w:rsidR="00CE783A" w:rsidRPr="00477C7B">
              <w:rPr>
                <w:sz w:val="20"/>
                <w:szCs w:val="20"/>
              </w:rPr>
              <w:t xml:space="preserve">calculate risk scores </w:t>
            </w:r>
            <w:r w:rsidRPr="00477C7B">
              <w:rPr>
                <w:sz w:val="20"/>
                <w:szCs w:val="20"/>
              </w:rPr>
              <w:t>and identify gaps in care</w:t>
            </w:r>
            <w:r w:rsidR="00F22436" w:rsidRPr="00477C7B">
              <w:rPr>
                <w:sz w:val="20"/>
                <w:szCs w:val="20"/>
              </w:rPr>
              <w:t>)</w:t>
            </w:r>
          </w:p>
          <w:p w14:paraId="6506F440" w14:textId="7DF13E66" w:rsidR="007F01EA" w:rsidRPr="00477C7B" w:rsidRDefault="001F31D6" w:rsidP="00704C7D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right="360" w:hanging="252"/>
              <w:rPr>
                <w:sz w:val="20"/>
                <w:szCs w:val="20"/>
              </w:rPr>
            </w:pPr>
            <w:r w:rsidRPr="00477C7B">
              <w:rPr>
                <w:sz w:val="20"/>
                <w:szCs w:val="20"/>
              </w:rPr>
              <w:t>Unified health records to support c</w:t>
            </w:r>
            <w:r w:rsidR="007F01EA" w:rsidRPr="00477C7B">
              <w:rPr>
                <w:sz w:val="20"/>
                <w:szCs w:val="20"/>
              </w:rPr>
              <w:t>are coordination</w:t>
            </w:r>
            <w:r w:rsidR="00E26388" w:rsidRPr="00477C7B">
              <w:rPr>
                <w:sz w:val="20"/>
                <w:szCs w:val="20"/>
              </w:rPr>
              <w:t xml:space="preserve"> and transitional care services</w:t>
            </w:r>
          </w:p>
          <w:p w14:paraId="4669867A" w14:textId="77777777" w:rsidR="00CE783A" w:rsidRPr="00477C7B" w:rsidRDefault="0053662A" w:rsidP="00704C7D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right="360" w:hanging="252"/>
              <w:rPr>
                <w:sz w:val="20"/>
                <w:szCs w:val="20"/>
              </w:rPr>
            </w:pPr>
            <w:r w:rsidRPr="00477C7B">
              <w:rPr>
                <w:rFonts w:eastAsia="Times New Roman" w:cstheme="minorHAnsi"/>
                <w:color w:val="212121"/>
                <w:sz w:val="20"/>
                <w:szCs w:val="20"/>
              </w:rPr>
              <w:t xml:space="preserve">Clinical data needed </w:t>
            </w:r>
            <w:r w:rsidR="007F01EA" w:rsidRPr="00477C7B">
              <w:rPr>
                <w:rFonts w:eastAsia="Times New Roman" w:cstheme="minorHAnsi"/>
                <w:color w:val="212121"/>
                <w:sz w:val="20"/>
                <w:szCs w:val="20"/>
              </w:rPr>
              <w:t>for quality</w:t>
            </w:r>
            <w:r w:rsidR="00D63A48" w:rsidRPr="00477C7B">
              <w:rPr>
                <w:rFonts w:eastAsia="Times New Roman" w:cstheme="minorHAnsi"/>
                <w:color w:val="212121"/>
                <w:sz w:val="20"/>
                <w:szCs w:val="20"/>
              </w:rPr>
              <w:t xml:space="preserve"> improvement and</w:t>
            </w:r>
            <w:r w:rsidR="007F01EA" w:rsidRPr="00477C7B">
              <w:rPr>
                <w:rFonts w:eastAsia="Times New Roman" w:cstheme="minorHAnsi"/>
                <w:color w:val="212121"/>
                <w:sz w:val="20"/>
                <w:szCs w:val="20"/>
              </w:rPr>
              <w:t xml:space="preserve"> reporting</w:t>
            </w:r>
          </w:p>
          <w:p w14:paraId="54BABB3E" w14:textId="751C05C5" w:rsidR="008F48B4" w:rsidRPr="00477C7B" w:rsidRDefault="008F48B4" w:rsidP="00704C7D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right="360" w:hanging="252"/>
              <w:rPr>
                <w:sz w:val="20"/>
                <w:szCs w:val="20"/>
              </w:rPr>
            </w:pPr>
            <w:r w:rsidRPr="00477C7B">
              <w:rPr>
                <w:sz w:val="20"/>
                <w:szCs w:val="20"/>
              </w:rPr>
              <w:t xml:space="preserve">Demographic data </w:t>
            </w:r>
            <w:r w:rsidR="00E26388" w:rsidRPr="00477C7B">
              <w:rPr>
                <w:sz w:val="20"/>
                <w:szCs w:val="20"/>
              </w:rPr>
              <w:t>including</w:t>
            </w:r>
            <w:r w:rsidRPr="00477C7B">
              <w:rPr>
                <w:sz w:val="20"/>
                <w:szCs w:val="20"/>
              </w:rPr>
              <w:t xml:space="preserve"> race and ethnicity, contact information and preferred language</w:t>
            </w:r>
            <w:r w:rsidR="00E26388" w:rsidRPr="00477C7B">
              <w:rPr>
                <w:sz w:val="20"/>
                <w:szCs w:val="20"/>
              </w:rPr>
              <w:t xml:space="preserve"> needed to address equity</w:t>
            </w:r>
            <w:r w:rsidR="00F53CBD">
              <w:rPr>
                <w:sz w:val="20"/>
                <w:szCs w:val="20"/>
              </w:rPr>
              <w:t xml:space="preserve"> gaps</w:t>
            </w:r>
          </w:p>
        </w:tc>
      </w:tr>
      <w:tr w:rsidR="00694538" w:rsidRPr="00477C7B" w14:paraId="0CD0E7A7" w14:textId="77777777" w:rsidTr="00BF0155">
        <w:tc>
          <w:tcPr>
            <w:tcW w:w="2430" w:type="dxa"/>
          </w:tcPr>
          <w:p w14:paraId="7233AFA6" w14:textId="4C7CA635" w:rsidR="00694538" w:rsidRPr="00477C7B" w:rsidRDefault="00694538" w:rsidP="00FA1E49">
            <w:pPr>
              <w:tabs>
                <w:tab w:val="left" w:pos="360"/>
              </w:tabs>
              <w:ind w:left="360" w:right="360" w:hanging="360"/>
              <w:rPr>
                <w:sz w:val="20"/>
                <w:szCs w:val="20"/>
              </w:rPr>
            </w:pPr>
            <w:r w:rsidRPr="00477C7B">
              <w:rPr>
                <w:sz w:val="20"/>
                <w:szCs w:val="20"/>
              </w:rPr>
              <w:t>Event notifications</w:t>
            </w:r>
          </w:p>
        </w:tc>
        <w:tc>
          <w:tcPr>
            <w:tcW w:w="7650" w:type="dxa"/>
          </w:tcPr>
          <w:p w14:paraId="6DA562A0" w14:textId="06CE121C" w:rsidR="009C760A" w:rsidRPr="00477C7B" w:rsidRDefault="009C760A" w:rsidP="00704C7D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right="360" w:hanging="252"/>
              <w:rPr>
                <w:sz w:val="20"/>
                <w:szCs w:val="20"/>
              </w:rPr>
            </w:pPr>
            <w:r w:rsidRPr="00477C7B">
              <w:rPr>
                <w:sz w:val="20"/>
                <w:szCs w:val="20"/>
              </w:rPr>
              <w:t xml:space="preserve">ADT data needed for </w:t>
            </w:r>
            <w:r w:rsidR="007F01EA" w:rsidRPr="00477C7B">
              <w:rPr>
                <w:sz w:val="20"/>
                <w:szCs w:val="20"/>
              </w:rPr>
              <w:t>population health management</w:t>
            </w:r>
            <w:r w:rsidR="00572B8F" w:rsidRPr="00477C7B">
              <w:rPr>
                <w:sz w:val="20"/>
                <w:szCs w:val="20"/>
              </w:rPr>
              <w:t xml:space="preserve"> </w:t>
            </w:r>
          </w:p>
          <w:p w14:paraId="43E67515" w14:textId="6891FEF0" w:rsidR="007332F2" w:rsidRPr="00477C7B" w:rsidRDefault="001F31D6" w:rsidP="00704C7D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right="360" w:hanging="252"/>
              <w:rPr>
                <w:sz w:val="20"/>
                <w:szCs w:val="20"/>
              </w:rPr>
            </w:pPr>
            <w:r w:rsidRPr="00477C7B">
              <w:rPr>
                <w:rFonts w:eastAsia="Times New Roman" w:cstheme="minorHAnsi"/>
                <w:color w:val="212121"/>
                <w:sz w:val="20"/>
                <w:szCs w:val="20"/>
              </w:rPr>
              <w:t>Event notifications to support t</w:t>
            </w:r>
            <w:r w:rsidR="0053662A" w:rsidRPr="00477C7B">
              <w:rPr>
                <w:rFonts w:eastAsia="Times New Roman" w:cstheme="minorHAnsi"/>
                <w:color w:val="212121"/>
                <w:sz w:val="20"/>
                <w:szCs w:val="20"/>
              </w:rPr>
              <w:t>ransitional care services</w:t>
            </w:r>
            <w:r w:rsidR="00A87A1A" w:rsidRPr="00477C7B">
              <w:rPr>
                <w:rFonts w:eastAsia="Times New Roman" w:cstheme="minorHAnsi"/>
                <w:color w:val="212121"/>
                <w:sz w:val="20"/>
                <w:szCs w:val="20"/>
              </w:rPr>
              <w:t>, readmission reduction and administrative functions such as prior authorization</w:t>
            </w:r>
          </w:p>
        </w:tc>
      </w:tr>
    </w:tbl>
    <w:p w14:paraId="49F59433" w14:textId="77777777" w:rsidR="00156A02" w:rsidRPr="00477C7B" w:rsidRDefault="00156A02" w:rsidP="004E4283">
      <w:pPr>
        <w:tabs>
          <w:tab w:val="left" w:pos="360"/>
        </w:tabs>
        <w:ind w:left="360" w:right="360"/>
        <w:rPr>
          <w:sz w:val="20"/>
          <w:szCs w:val="20"/>
        </w:rPr>
      </w:pPr>
    </w:p>
    <w:p w14:paraId="42CE8139" w14:textId="6FAE828A" w:rsidR="00806597" w:rsidRDefault="005503A6" w:rsidP="004E4283">
      <w:pPr>
        <w:tabs>
          <w:tab w:val="left" w:pos="360"/>
        </w:tabs>
        <w:ind w:left="360" w:right="360"/>
      </w:pPr>
      <w:r>
        <w:t>After funding is approved</w:t>
      </w:r>
      <w:r w:rsidR="0054077C">
        <w:t xml:space="preserve"> in the Final Budget</w:t>
      </w:r>
      <w:r w:rsidR="003526AF">
        <w:t xml:space="preserve">, DHCS will need to </w:t>
      </w:r>
      <w:r w:rsidR="00FD4AC6">
        <w:t>develop</w:t>
      </w:r>
      <w:r w:rsidR="003526AF">
        <w:t xml:space="preserve"> </w:t>
      </w:r>
      <w:r w:rsidR="00A05B80">
        <w:t xml:space="preserve">a </w:t>
      </w:r>
      <w:r w:rsidR="00BF0155">
        <w:t>plan for:</w:t>
      </w:r>
    </w:p>
    <w:p w14:paraId="46E5F509" w14:textId="6C93E377" w:rsidR="003526AF" w:rsidRDefault="00A42B5D" w:rsidP="008E5A26">
      <w:pPr>
        <w:pStyle w:val="ListParagraph"/>
        <w:numPr>
          <w:ilvl w:val="0"/>
          <w:numId w:val="5"/>
        </w:numPr>
        <w:tabs>
          <w:tab w:val="left" w:pos="720"/>
        </w:tabs>
        <w:ind w:left="720" w:right="360"/>
      </w:pPr>
      <w:r>
        <w:t>W</w:t>
      </w:r>
      <w:r w:rsidR="00173751">
        <w:t xml:space="preserve">hich </w:t>
      </w:r>
      <w:r w:rsidR="003526AF">
        <w:t xml:space="preserve">HIE </w:t>
      </w:r>
      <w:r w:rsidR="00173751">
        <w:t xml:space="preserve">modules </w:t>
      </w:r>
      <w:r w:rsidR="00247019">
        <w:t>will</w:t>
      </w:r>
      <w:r w:rsidR="00173751">
        <w:t xml:space="preserve"> be submitted</w:t>
      </w:r>
      <w:r w:rsidR="006841A0">
        <w:t xml:space="preserve"> for MES funding</w:t>
      </w:r>
      <w:r w:rsidR="008E5A26">
        <w:t>?</w:t>
      </w:r>
    </w:p>
    <w:p w14:paraId="0CD94E6C" w14:textId="54D9ADB0" w:rsidR="00C12B39" w:rsidRDefault="00A42B5D" w:rsidP="008E5A26">
      <w:pPr>
        <w:pStyle w:val="ListParagraph"/>
        <w:numPr>
          <w:ilvl w:val="0"/>
          <w:numId w:val="5"/>
        </w:numPr>
        <w:tabs>
          <w:tab w:val="left" w:pos="720"/>
        </w:tabs>
        <w:ind w:left="720" w:right="360"/>
      </w:pPr>
      <w:r>
        <w:t>W</w:t>
      </w:r>
      <w:r w:rsidR="00C12B39">
        <w:t xml:space="preserve">hat will be the </w:t>
      </w:r>
      <w:r w:rsidR="00B46C4B">
        <w:t xml:space="preserve">associated </w:t>
      </w:r>
      <w:r w:rsidR="00C12B39">
        <w:t>outcomes and metrics</w:t>
      </w:r>
      <w:r w:rsidR="008E5A26">
        <w:t>?</w:t>
      </w:r>
    </w:p>
    <w:p w14:paraId="3E4DD938" w14:textId="334B44DE" w:rsidR="00C12B39" w:rsidRDefault="00A42B5D" w:rsidP="008E5A26">
      <w:pPr>
        <w:pStyle w:val="ListParagraph"/>
        <w:numPr>
          <w:ilvl w:val="0"/>
          <w:numId w:val="5"/>
        </w:numPr>
        <w:tabs>
          <w:tab w:val="left" w:pos="720"/>
        </w:tabs>
        <w:ind w:left="720" w:right="360"/>
      </w:pPr>
      <w:r>
        <w:t>W</w:t>
      </w:r>
      <w:r w:rsidR="00173751">
        <w:t xml:space="preserve">hat </w:t>
      </w:r>
      <w:r w:rsidR="00CB564C">
        <w:t xml:space="preserve">new </w:t>
      </w:r>
      <w:r w:rsidR="003526AF">
        <w:t xml:space="preserve">HIE </w:t>
      </w:r>
      <w:r w:rsidR="00CB564C">
        <w:t xml:space="preserve">capabilities </w:t>
      </w:r>
      <w:r w:rsidR="003526AF">
        <w:t>will</w:t>
      </w:r>
      <w:r w:rsidR="00173751">
        <w:t xml:space="preserve"> be </w:t>
      </w:r>
      <w:r w:rsidR="00CB564C">
        <w:t>developed</w:t>
      </w:r>
      <w:r w:rsidR="00173751">
        <w:t xml:space="preserve"> under design</w:t>
      </w:r>
      <w:r w:rsidR="002B5BB9">
        <w:t xml:space="preserve"> and </w:t>
      </w:r>
      <w:r w:rsidR="00173751">
        <w:t>development</w:t>
      </w:r>
      <w:r w:rsidR="00C12B39">
        <w:t xml:space="preserve"> (90% match)</w:t>
      </w:r>
      <w:r w:rsidR="008E5A26">
        <w:t xml:space="preserve"> vs implementation?</w:t>
      </w:r>
    </w:p>
    <w:p w14:paraId="2CCE5489" w14:textId="00446274" w:rsidR="00953181" w:rsidRDefault="00A42B5D" w:rsidP="008E5A26">
      <w:pPr>
        <w:pStyle w:val="ListParagraph"/>
        <w:numPr>
          <w:ilvl w:val="0"/>
          <w:numId w:val="5"/>
        </w:numPr>
        <w:tabs>
          <w:tab w:val="left" w:pos="720"/>
        </w:tabs>
        <w:ind w:left="720" w:right="360"/>
      </w:pPr>
      <w:r>
        <w:t>H</w:t>
      </w:r>
      <w:r w:rsidR="00173751">
        <w:t xml:space="preserve">ow </w:t>
      </w:r>
      <w:r w:rsidR="00CB564C">
        <w:t xml:space="preserve">should </w:t>
      </w:r>
      <w:r>
        <w:t>DHCS</w:t>
      </w:r>
      <w:r w:rsidR="00173751">
        <w:t xml:space="preserve"> </w:t>
      </w:r>
      <w:r w:rsidR="00CB564C">
        <w:t>approach</w:t>
      </w:r>
      <w:r w:rsidR="00173751">
        <w:t xml:space="preserve"> funding multiple </w:t>
      </w:r>
      <w:r w:rsidR="003526AF">
        <w:t>HI</w:t>
      </w:r>
      <w:r w:rsidR="00B46C4B">
        <w:t>Os</w:t>
      </w:r>
      <w:r w:rsidR="008E5A26">
        <w:t>?</w:t>
      </w:r>
    </w:p>
    <w:p w14:paraId="4F559C88" w14:textId="1B4B851A" w:rsidR="00D867B6" w:rsidRPr="00F85475" w:rsidRDefault="00D867B6" w:rsidP="00CE07AE">
      <w:pPr>
        <w:pStyle w:val="ListParagraph"/>
        <w:tabs>
          <w:tab w:val="left" w:pos="720"/>
        </w:tabs>
        <w:ind w:right="360"/>
        <w:rPr>
          <w:u w:val="single"/>
        </w:rPr>
      </w:pPr>
    </w:p>
    <w:p w14:paraId="56F78DC8" w14:textId="571E779A" w:rsidR="00D867B6" w:rsidRPr="00F85475" w:rsidRDefault="00F85475" w:rsidP="00D867B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PROVIDER COUNTS </w:t>
      </w:r>
      <w:r w:rsidR="00285540" w:rsidRPr="00F85475">
        <w:rPr>
          <w:b/>
          <w:bCs/>
          <w:u w:val="single"/>
        </w:rPr>
        <w:t xml:space="preserve">FOR </w:t>
      </w:r>
      <w:r w:rsidR="00E40C5C" w:rsidRPr="00F85475">
        <w:rPr>
          <w:b/>
          <w:bCs/>
          <w:u w:val="single"/>
        </w:rPr>
        <w:t xml:space="preserve">PROVIDER DATA SHARING PERFORMANCE PAYMENTS </w:t>
      </w:r>
    </w:p>
    <w:p w14:paraId="12AD002F" w14:textId="50A0D7A7" w:rsidR="00D867B6" w:rsidRDefault="00CE07AE" w:rsidP="00CE07AE">
      <w:pPr>
        <w:ind w:left="360"/>
      </w:pPr>
      <w:r>
        <w:t>Our</w:t>
      </w:r>
      <w:r w:rsidR="00D867B6">
        <w:t xml:space="preserve"> budget proposal includes $44 million general fund for </w:t>
      </w:r>
      <w:r w:rsidR="008773A4">
        <w:t xml:space="preserve">2022-23 for </w:t>
      </w:r>
      <w:r w:rsidR="00D867B6">
        <w:t>data sharing performance payments to PCPs and hospitals (through directed payments).</w:t>
      </w:r>
      <w:r>
        <w:t xml:space="preserve"> </w:t>
      </w:r>
      <w:r w:rsidR="00A85994">
        <w:t>You asked for additional information on provider counts.</w:t>
      </w:r>
    </w:p>
    <w:p w14:paraId="11ECC2E6" w14:textId="1904FC8E" w:rsidR="00D867B6" w:rsidRPr="00BF7B21" w:rsidRDefault="00D867B6" w:rsidP="00D867B6">
      <w:pPr>
        <w:ind w:left="360"/>
      </w:pPr>
      <w:r w:rsidRPr="00BF7B21">
        <w:t xml:space="preserve">The table below shows the </w:t>
      </w:r>
      <w:r w:rsidR="00CE07AE" w:rsidRPr="00BF7B21">
        <w:t xml:space="preserve">provider counts </w:t>
      </w:r>
      <w:r w:rsidRPr="00BF7B21">
        <w:t xml:space="preserve">we used to calculate </w:t>
      </w:r>
      <w:r w:rsidR="00BF7B21">
        <w:t>this amount</w:t>
      </w:r>
      <w:r w:rsidRPr="00BF7B21">
        <w:t>.</w:t>
      </w:r>
    </w:p>
    <w:tbl>
      <w:tblPr>
        <w:tblStyle w:val="TableGrid"/>
        <w:tblW w:w="9535" w:type="dxa"/>
        <w:tblInd w:w="360" w:type="dxa"/>
        <w:tblLook w:val="04A0" w:firstRow="1" w:lastRow="0" w:firstColumn="1" w:lastColumn="0" w:noHBand="0" w:noVBand="1"/>
      </w:tblPr>
      <w:tblGrid>
        <w:gridCol w:w="1615"/>
        <w:gridCol w:w="1890"/>
        <w:gridCol w:w="1800"/>
        <w:gridCol w:w="1350"/>
        <w:gridCol w:w="1350"/>
        <w:gridCol w:w="1530"/>
      </w:tblGrid>
      <w:tr w:rsidR="00D867B6" w:rsidRPr="009333D4" w14:paraId="3E367F83" w14:textId="77777777" w:rsidTr="00D867B6">
        <w:tc>
          <w:tcPr>
            <w:tcW w:w="1615" w:type="dxa"/>
          </w:tcPr>
          <w:p w14:paraId="42FDB165" w14:textId="77777777" w:rsidR="00D867B6" w:rsidRPr="009333D4" w:rsidRDefault="00D867B6" w:rsidP="001D41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D4">
              <w:rPr>
                <w:b/>
                <w:bCs/>
                <w:sz w:val="20"/>
                <w:szCs w:val="20"/>
              </w:rPr>
              <w:t>Type of Entity</w:t>
            </w:r>
          </w:p>
        </w:tc>
        <w:tc>
          <w:tcPr>
            <w:tcW w:w="1890" w:type="dxa"/>
          </w:tcPr>
          <w:p w14:paraId="198B403E" w14:textId="77777777" w:rsidR="00D867B6" w:rsidRPr="009333D4" w:rsidRDefault="00D867B6" w:rsidP="001D41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D4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800" w:type="dxa"/>
          </w:tcPr>
          <w:p w14:paraId="0E2C481E" w14:textId="77777777" w:rsidR="00D867B6" w:rsidRPr="009333D4" w:rsidRDefault="00D867B6" w:rsidP="001D41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D4">
              <w:rPr>
                <w:b/>
                <w:bCs/>
                <w:sz w:val="20"/>
                <w:szCs w:val="20"/>
              </w:rPr>
              <w:t>Projected Participation Rate</w:t>
            </w:r>
          </w:p>
        </w:tc>
        <w:tc>
          <w:tcPr>
            <w:tcW w:w="1350" w:type="dxa"/>
          </w:tcPr>
          <w:p w14:paraId="53D76636" w14:textId="77777777" w:rsidR="00D867B6" w:rsidRPr="009333D4" w:rsidRDefault="00D867B6" w:rsidP="001D41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D4">
              <w:rPr>
                <w:b/>
                <w:bCs/>
                <w:sz w:val="20"/>
                <w:szCs w:val="20"/>
              </w:rPr>
              <w:t>Payment Per Entity</w:t>
            </w:r>
          </w:p>
        </w:tc>
        <w:tc>
          <w:tcPr>
            <w:tcW w:w="1350" w:type="dxa"/>
          </w:tcPr>
          <w:p w14:paraId="0979121E" w14:textId="77777777" w:rsidR="00D867B6" w:rsidRPr="009333D4" w:rsidRDefault="00D867B6" w:rsidP="001D41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D4">
              <w:rPr>
                <w:b/>
                <w:bCs/>
                <w:sz w:val="20"/>
                <w:szCs w:val="20"/>
              </w:rPr>
              <w:t>Total Annual Budget</w:t>
            </w:r>
          </w:p>
        </w:tc>
        <w:tc>
          <w:tcPr>
            <w:tcW w:w="1530" w:type="dxa"/>
          </w:tcPr>
          <w:p w14:paraId="04B8BCFA" w14:textId="77777777" w:rsidR="00D867B6" w:rsidRPr="009333D4" w:rsidRDefault="00D867B6" w:rsidP="001D41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D4">
              <w:rPr>
                <w:b/>
                <w:bCs/>
                <w:sz w:val="20"/>
                <w:szCs w:val="20"/>
              </w:rPr>
              <w:t>State Share (general fund)</w:t>
            </w:r>
          </w:p>
        </w:tc>
      </w:tr>
      <w:tr w:rsidR="00D867B6" w:rsidRPr="009333D4" w14:paraId="25716B2F" w14:textId="77777777" w:rsidTr="00D867B6">
        <w:tc>
          <w:tcPr>
            <w:tcW w:w="1615" w:type="dxa"/>
          </w:tcPr>
          <w:p w14:paraId="4BC6A360" w14:textId="77777777" w:rsidR="00D867B6" w:rsidRPr="009333D4" w:rsidRDefault="00D867B6" w:rsidP="001D4131">
            <w:pPr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Hospitals</w:t>
            </w:r>
          </w:p>
        </w:tc>
        <w:tc>
          <w:tcPr>
            <w:tcW w:w="1890" w:type="dxa"/>
          </w:tcPr>
          <w:p w14:paraId="1E766B1A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350</w:t>
            </w:r>
          </w:p>
        </w:tc>
        <w:tc>
          <w:tcPr>
            <w:tcW w:w="1800" w:type="dxa"/>
          </w:tcPr>
          <w:p w14:paraId="3FF77406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80%</w:t>
            </w:r>
          </w:p>
        </w:tc>
        <w:tc>
          <w:tcPr>
            <w:tcW w:w="1350" w:type="dxa"/>
          </w:tcPr>
          <w:p w14:paraId="132AF122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$100,000</w:t>
            </w:r>
          </w:p>
        </w:tc>
        <w:tc>
          <w:tcPr>
            <w:tcW w:w="1350" w:type="dxa"/>
          </w:tcPr>
          <w:p w14:paraId="71716EDB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$28 million</w:t>
            </w:r>
          </w:p>
        </w:tc>
        <w:tc>
          <w:tcPr>
            <w:tcW w:w="1530" w:type="dxa"/>
          </w:tcPr>
          <w:p w14:paraId="27B6A8AB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$14 million</w:t>
            </w:r>
          </w:p>
        </w:tc>
      </w:tr>
      <w:tr w:rsidR="00D867B6" w:rsidRPr="009333D4" w14:paraId="2003D1DB" w14:textId="77777777" w:rsidTr="00D867B6">
        <w:tc>
          <w:tcPr>
            <w:tcW w:w="1615" w:type="dxa"/>
          </w:tcPr>
          <w:p w14:paraId="0B29B35C" w14:textId="77777777" w:rsidR="00D867B6" w:rsidRPr="009333D4" w:rsidRDefault="00D867B6" w:rsidP="001D4131">
            <w:pPr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 xml:space="preserve">PCP Practices </w:t>
            </w:r>
          </w:p>
        </w:tc>
        <w:tc>
          <w:tcPr>
            <w:tcW w:w="1890" w:type="dxa"/>
          </w:tcPr>
          <w:p w14:paraId="59D27642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5,000</w:t>
            </w:r>
          </w:p>
        </w:tc>
        <w:tc>
          <w:tcPr>
            <w:tcW w:w="1800" w:type="dxa"/>
          </w:tcPr>
          <w:p w14:paraId="7A0FB7C3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80%</w:t>
            </w:r>
          </w:p>
        </w:tc>
        <w:tc>
          <w:tcPr>
            <w:tcW w:w="1350" w:type="dxa"/>
          </w:tcPr>
          <w:p w14:paraId="4809A25C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$15,000</w:t>
            </w:r>
          </w:p>
        </w:tc>
        <w:tc>
          <w:tcPr>
            <w:tcW w:w="1350" w:type="dxa"/>
          </w:tcPr>
          <w:p w14:paraId="34A67A44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$60 million</w:t>
            </w:r>
          </w:p>
        </w:tc>
        <w:tc>
          <w:tcPr>
            <w:tcW w:w="1530" w:type="dxa"/>
          </w:tcPr>
          <w:p w14:paraId="71AD4A2F" w14:textId="77777777" w:rsidR="00D867B6" w:rsidRPr="009333D4" w:rsidRDefault="00D867B6" w:rsidP="001D4131">
            <w:pPr>
              <w:jc w:val="center"/>
              <w:rPr>
                <w:sz w:val="20"/>
                <w:szCs w:val="20"/>
              </w:rPr>
            </w:pPr>
            <w:r w:rsidRPr="009333D4">
              <w:rPr>
                <w:sz w:val="20"/>
                <w:szCs w:val="20"/>
              </w:rPr>
              <w:t>$30 million</w:t>
            </w:r>
          </w:p>
        </w:tc>
      </w:tr>
    </w:tbl>
    <w:p w14:paraId="4D967DDF" w14:textId="77777777" w:rsidR="00D867B6" w:rsidRDefault="00D867B6" w:rsidP="00D867B6">
      <w:pPr>
        <w:ind w:left="360"/>
      </w:pPr>
    </w:p>
    <w:p w14:paraId="2167C083" w14:textId="4DC67378" w:rsidR="00D867B6" w:rsidRDefault="00CE07AE" w:rsidP="00D867B6">
      <w:pPr>
        <w:ind w:left="360"/>
      </w:pPr>
      <w:r>
        <w:t xml:space="preserve">Here is more detail on </w:t>
      </w:r>
      <w:r w:rsidR="00D867B6">
        <w:t>assumptions:</w:t>
      </w:r>
    </w:p>
    <w:p w14:paraId="245115AB" w14:textId="35647A00" w:rsidR="00D867B6" w:rsidRDefault="00AC1870" w:rsidP="00D867B6">
      <w:pPr>
        <w:pStyle w:val="ListParagraph"/>
        <w:numPr>
          <w:ilvl w:val="0"/>
          <w:numId w:val="8"/>
        </w:numPr>
        <w:ind w:left="1080"/>
      </w:pPr>
      <w:r>
        <w:t xml:space="preserve">Each </w:t>
      </w:r>
      <w:r w:rsidR="00D867B6">
        <w:t xml:space="preserve">individual hospital </w:t>
      </w:r>
      <w:r w:rsidR="00F221B9">
        <w:t xml:space="preserve">(not system) </w:t>
      </w:r>
      <w:r>
        <w:t>or</w:t>
      </w:r>
      <w:r w:rsidR="00D867B6">
        <w:t xml:space="preserve"> PCP </w:t>
      </w:r>
      <w:r w:rsidR="00942213">
        <w:t>“</w:t>
      </w:r>
      <w:r w:rsidR="00D867B6">
        <w:t>practice</w:t>
      </w:r>
      <w:r w:rsidR="00942213">
        <w:t>”</w:t>
      </w:r>
      <w:r w:rsidR="004976F6">
        <w:t xml:space="preserve"> (not individual </w:t>
      </w:r>
      <w:r w:rsidR="00F221B9">
        <w:t>clinician</w:t>
      </w:r>
      <w:r w:rsidR="004976F6">
        <w:t>)</w:t>
      </w:r>
      <w:r w:rsidR="00D80B0F">
        <w:t xml:space="preserve"> would be paid the amount if it meets the data sharing requirements</w:t>
      </w:r>
      <w:r w:rsidR="00D867B6">
        <w:t xml:space="preserve">. Paying per “EHR interface” might spark concern since it looks like a “provider onboarding” payment, which CMS is no longer supporting. </w:t>
      </w:r>
      <w:r w:rsidR="00534EEC">
        <w:t xml:space="preserve">PCP </w:t>
      </w:r>
      <w:r w:rsidR="00942213">
        <w:t>“</w:t>
      </w:r>
      <w:r w:rsidR="00534EEC">
        <w:t>practices</w:t>
      </w:r>
      <w:r w:rsidR="00942213">
        <w:t>”</w:t>
      </w:r>
      <w:r w:rsidR="00534EEC">
        <w:t xml:space="preserve"> would include </w:t>
      </w:r>
      <w:r w:rsidR="00942213">
        <w:t>FQHCs.</w:t>
      </w:r>
    </w:p>
    <w:p w14:paraId="7E7AB686" w14:textId="2608212C" w:rsidR="00942213" w:rsidRDefault="00D867B6" w:rsidP="00D469AC">
      <w:pPr>
        <w:pStyle w:val="ListParagraph"/>
        <w:numPr>
          <w:ilvl w:val="0"/>
          <w:numId w:val="8"/>
        </w:numPr>
        <w:ind w:left="1080"/>
      </w:pPr>
      <w:r>
        <w:t xml:space="preserve">We used 350 as the number of Medi-Cal hospitals. </w:t>
      </w:r>
    </w:p>
    <w:p w14:paraId="34EDF359" w14:textId="755950B9" w:rsidR="00D867B6" w:rsidRDefault="00D867B6" w:rsidP="00D867B6">
      <w:pPr>
        <w:pStyle w:val="ListParagraph"/>
        <w:numPr>
          <w:ilvl w:val="0"/>
          <w:numId w:val="8"/>
        </w:numPr>
        <w:ind w:left="1080"/>
      </w:pPr>
      <w:r>
        <w:t>We used 5,000 as the number of Medi-Cal PCP practices. We extrapolated this number from two different estimates.</w:t>
      </w:r>
    </w:p>
    <w:p w14:paraId="279D6E8E" w14:textId="77777777" w:rsidR="00D867B6" w:rsidRPr="00CE07AE" w:rsidRDefault="00D867B6" w:rsidP="00CE07AE">
      <w:pPr>
        <w:pStyle w:val="ListParagraph"/>
        <w:ind w:left="1800"/>
        <w:rPr>
          <w:u w:val="single"/>
        </w:rPr>
      </w:pPr>
      <w:r w:rsidRPr="00CE07AE">
        <w:rPr>
          <w:u w:val="single"/>
        </w:rPr>
        <w:t>Based on Medi-Cal plan counts</w:t>
      </w:r>
    </w:p>
    <w:p w14:paraId="5DA71387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>One of our participating Medi-Cal plans has a rate of .077 individual PCP clinicians per member</w:t>
      </w:r>
    </w:p>
    <w:p w14:paraId="6DA508FE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>We used an estimate of 14.3 million Medi-Cal enrollees in California</w:t>
      </w:r>
    </w:p>
    <w:p w14:paraId="6F56E824" w14:textId="54D21C6F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>This produces a total estimate of 10,214 Medi-Cal PCP</w:t>
      </w:r>
      <w:r w:rsidR="00B53068">
        <w:t xml:space="preserve"> clinicians</w:t>
      </w:r>
      <w:r>
        <w:t xml:space="preserve"> in California</w:t>
      </w:r>
    </w:p>
    <w:p w14:paraId="74148E42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lastRenderedPageBreak/>
        <w:t>We estimate there are 2 PCPs per practice</w:t>
      </w:r>
    </w:p>
    <w:p w14:paraId="53A26A71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>Producing a final estimate of 5,107 Medi-Cal PCP practices</w:t>
      </w:r>
    </w:p>
    <w:p w14:paraId="18DA639E" w14:textId="77777777" w:rsidR="00D867B6" w:rsidRPr="00942213" w:rsidRDefault="00D867B6" w:rsidP="00D867B6">
      <w:pPr>
        <w:pStyle w:val="ListParagraph"/>
        <w:numPr>
          <w:ilvl w:val="1"/>
          <w:numId w:val="8"/>
        </w:numPr>
        <w:ind w:left="1800"/>
        <w:rPr>
          <w:u w:val="single"/>
        </w:rPr>
      </w:pPr>
      <w:r w:rsidRPr="00942213">
        <w:rPr>
          <w:u w:val="single"/>
        </w:rPr>
        <w:t xml:space="preserve">Based on </w:t>
      </w:r>
      <w:hyperlink r:id="rId10" w:history="1">
        <w:r w:rsidRPr="00942213">
          <w:rPr>
            <w:rStyle w:val="Hyperlink"/>
          </w:rPr>
          <w:t>CHCF statistics</w:t>
        </w:r>
      </w:hyperlink>
    </w:p>
    <w:p w14:paraId="0D2C73D3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 xml:space="preserve">Total practicing primary care doctors in California = 22,007 </w:t>
      </w:r>
    </w:p>
    <w:p w14:paraId="7D642DCE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>Percent of PCPs taking Medi-Cal = 62%</w:t>
      </w:r>
    </w:p>
    <w:p w14:paraId="073E34F8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>Total number of Medi-Cal primary care doctors = 13,644</w:t>
      </w:r>
    </w:p>
    <w:p w14:paraId="7882CEC1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>Assume 70 percent of these are assigned by plans as PCPs = 9,551</w:t>
      </w:r>
    </w:p>
    <w:p w14:paraId="4D42B8F3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>We estimate there are 2 PCPs per practice</w:t>
      </w:r>
    </w:p>
    <w:p w14:paraId="13BE1F6B" w14:textId="77777777" w:rsidR="00D867B6" w:rsidRDefault="00D867B6" w:rsidP="00D867B6">
      <w:pPr>
        <w:pStyle w:val="ListParagraph"/>
        <w:numPr>
          <w:ilvl w:val="2"/>
          <w:numId w:val="8"/>
        </w:numPr>
        <w:ind w:left="2520"/>
      </w:pPr>
      <w:r>
        <w:t>Producing a final estimate of 4,775 Medi-Cal PCP practices</w:t>
      </w:r>
    </w:p>
    <w:p w14:paraId="7FC7F6E0" w14:textId="50C0B32E" w:rsidR="00D867B6" w:rsidRDefault="00D867B6" w:rsidP="00D867B6">
      <w:pPr>
        <w:pStyle w:val="ListParagraph"/>
        <w:numPr>
          <w:ilvl w:val="0"/>
          <w:numId w:val="8"/>
        </w:numPr>
        <w:ind w:left="1080"/>
      </w:pPr>
      <w:r>
        <w:t xml:space="preserve">We projected </w:t>
      </w:r>
      <w:r w:rsidR="00942213">
        <w:t>that</w:t>
      </w:r>
      <w:r>
        <w:t xml:space="preserve"> 80%</w:t>
      </w:r>
      <w:r w:rsidR="00942213">
        <w:t xml:space="preserve"> </w:t>
      </w:r>
      <w:r w:rsidR="009333D4">
        <w:t xml:space="preserve">of hospitals </w:t>
      </w:r>
      <w:r w:rsidR="00942213">
        <w:t xml:space="preserve">would </w:t>
      </w:r>
      <w:r w:rsidR="000B10E5">
        <w:t>meet the requirements of and receive</w:t>
      </w:r>
      <w:r w:rsidR="00942213">
        <w:t xml:space="preserve"> performance payments.</w:t>
      </w:r>
      <w:r>
        <w:t xml:space="preserve"> This is lower than the </w:t>
      </w:r>
      <w:r w:rsidR="00942213">
        <w:t>share of hospitals receiving performance payments</w:t>
      </w:r>
      <w:r>
        <w:t xml:space="preserve"> in the Inland Empire—where all hospitals but Kaiser participate in the IEHP incentive payment for data sharing—but that </w:t>
      </w:r>
      <w:r w:rsidR="00942213">
        <w:t>level</w:t>
      </w:r>
      <w:r>
        <w:t xml:space="preserve"> took several years to achieve and the IEHP per-hospital payments are higher.</w:t>
      </w:r>
    </w:p>
    <w:p w14:paraId="3556F99E" w14:textId="61733FFE" w:rsidR="00D867B6" w:rsidRDefault="00D867B6" w:rsidP="00D867B6">
      <w:pPr>
        <w:pStyle w:val="ListParagraph"/>
        <w:numPr>
          <w:ilvl w:val="0"/>
          <w:numId w:val="8"/>
        </w:numPr>
        <w:ind w:left="1080"/>
      </w:pPr>
      <w:r>
        <w:t xml:space="preserve">We used the same estimated participation rate for </w:t>
      </w:r>
      <w:r w:rsidR="004F0394">
        <w:t>PCPs</w:t>
      </w:r>
      <w:r>
        <w:t>.</w:t>
      </w:r>
    </w:p>
    <w:p w14:paraId="64B3012E" w14:textId="38935ED9" w:rsidR="00D867B6" w:rsidRDefault="00D867B6" w:rsidP="00D867B6">
      <w:pPr>
        <w:ind w:left="360"/>
      </w:pPr>
      <w:r>
        <w:t xml:space="preserve">We did not cost out additional provider types such as SNFs and specialists. The model could easily be applied to </w:t>
      </w:r>
      <w:r w:rsidR="004F0394">
        <w:t>additional provider types</w:t>
      </w:r>
      <w:r>
        <w:t>,</w:t>
      </w:r>
      <w:r w:rsidR="000B10E5">
        <w:t xml:space="preserve"> which of course would</w:t>
      </w:r>
      <w:r>
        <w:t xml:space="preserve"> </w:t>
      </w:r>
      <w:r w:rsidR="004F0394">
        <w:t>result in</w:t>
      </w:r>
      <w:r>
        <w:t xml:space="preserve"> a higher budget. </w:t>
      </w:r>
      <w:r w:rsidR="004F0394">
        <w:t>We recommend</w:t>
      </w:r>
      <w:r w:rsidR="00111FF3">
        <w:t xml:space="preserve"> initially</w:t>
      </w:r>
      <w:r w:rsidR="004F0394">
        <w:t xml:space="preserve"> limiting the program to PCPs and hospitals</w:t>
      </w:r>
      <w:r w:rsidR="00111FF3">
        <w:t xml:space="preserve"> </w:t>
      </w:r>
      <w:r w:rsidR="004F0394">
        <w:t>for the following reasons</w:t>
      </w:r>
      <w:r>
        <w:t>:</w:t>
      </w:r>
    </w:p>
    <w:p w14:paraId="4241394C" w14:textId="565BD20D" w:rsidR="00D867B6" w:rsidRDefault="00111FF3" w:rsidP="00D867B6">
      <w:pPr>
        <w:pStyle w:val="ListParagraph"/>
        <w:numPr>
          <w:ilvl w:val="0"/>
          <w:numId w:val="9"/>
        </w:numPr>
        <w:ind w:left="1080"/>
      </w:pPr>
      <w:r>
        <w:t>H</w:t>
      </w:r>
      <w:r w:rsidR="00D867B6">
        <w:t xml:space="preserve">ospital and primary care data </w:t>
      </w:r>
      <w:r>
        <w:t>are</w:t>
      </w:r>
      <w:r w:rsidR="00D867B6">
        <w:t xml:space="preserve"> most critical from a care coordination, gap in care and quality reporting perspective. </w:t>
      </w:r>
    </w:p>
    <w:p w14:paraId="5B3FEE8D" w14:textId="77777777" w:rsidR="00D867B6" w:rsidRDefault="00D867B6" w:rsidP="00D867B6">
      <w:pPr>
        <w:pStyle w:val="ListParagraph"/>
        <w:numPr>
          <w:ilvl w:val="0"/>
          <w:numId w:val="9"/>
        </w:numPr>
        <w:ind w:left="1080"/>
      </w:pPr>
      <w:r>
        <w:t>It’s a good idea to test this model for a year or two before expanding it.</w:t>
      </w:r>
    </w:p>
    <w:p w14:paraId="3EAF7E2D" w14:textId="2ED486A6" w:rsidR="00D867B6" w:rsidRPr="004661E3" w:rsidRDefault="00216854" w:rsidP="00D867B6">
      <w:pPr>
        <w:pStyle w:val="ListParagraph"/>
        <w:numPr>
          <w:ilvl w:val="0"/>
          <w:numId w:val="9"/>
        </w:numPr>
        <w:ind w:left="1080"/>
      </w:pPr>
      <w:r>
        <w:t>Given the dispersion and infrequency of specialty care, t</w:t>
      </w:r>
      <w:r w:rsidR="00D867B6">
        <w:t xml:space="preserve">he cost/benefit for including specialists may not be as great as for primary care providers. </w:t>
      </w:r>
    </w:p>
    <w:p w14:paraId="6D884DDA" w14:textId="77777777" w:rsidR="00D867B6" w:rsidRDefault="00D867B6" w:rsidP="00D867B6">
      <w:pPr>
        <w:pStyle w:val="ListParagraph"/>
        <w:numPr>
          <w:ilvl w:val="0"/>
          <w:numId w:val="9"/>
        </w:numPr>
        <w:ind w:left="1080"/>
      </w:pPr>
      <w:r>
        <w:t>Many skilled nursing facilities do not use electronic health records so would not be able to participate in electronic data sharing.</w:t>
      </w:r>
    </w:p>
    <w:p w14:paraId="78FC4271" w14:textId="77777777" w:rsidR="00D867B6" w:rsidRDefault="00D867B6" w:rsidP="00285540">
      <w:pPr>
        <w:pStyle w:val="ListParagraph"/>
        <w:tabs>
          <w:tab w:val="left" w:pos="720"/>
        </w:tabs>
        <w:ind w:left="1080" w:right="360"/>
      </w:pPr>
    </w:p>
    <w:sectPr w:rsidR="00D867B6" w:rsidSect="00772FC2">
      <w:headerReference w:type="default" r:id="rId11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15D3" w14:textId="77777777" w:rsidR="00774BD7" w:rsidRDefault="00774BD7" w:rsidP="008A4024">
      <w:pPr>
        <w:spacing w:after="0" w:line="240" w:lineRule="auto"/>
      </w:pPr>
      <w:r>
        <w:separator/>
      </w:r>
    </w:p>
  </w:endnote>
  <w:endnote w:type="continuationSeparator" w:id="0">
    <w:p w14:paraId="0A4CD4DD" w14:textId="77777777" w:rsidR="00774BD7" w:rsidRDefault="00774BD7" w:rsidP="008A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50BD" w14:textId="77777777" w:rsidR="00774BD7" w:rsidRDefault="00774BD7" w:rsidP="008A4024">
      <w:pPr>
        <w:spacing w:after="0" w:line="240" w:lineRule="auto"/>
      </w:pPr>
      <w:r>
        <w:separator/>
      </w:r>
    </w:p>
  </w:footnote>
  <w:footnote w:type="continuationSeparator" w:id="0">
    <w:p w14:paraId="54AB591A" w14:textId="77777777" w:rsidR="00774BD7" w:rsidRDefault="00774BD7" w:rsidP="008A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B84A" w14:textId="77777777" w:rsidR="008A4024" w:rsidRDefault="008A4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3F37"/>
    <w:multiLevelType w:val="hybridMultilevel"/>
    <w:tmpl w:val="C1AEBC98"/>
    <w:lvl w:ilvl="0" w:tplc="12941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2ECA"/>
    <w:multiLevelType w:val="hybridMultilevel"/>
    <w:tmpl w:val="8752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7DA2"/>
    <w:multiLevelType w:val="hybridMultilevel"/>
    <w:tmpl w:val="4BBC0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279BC"/>
    <w:multiLevelType w:val="hybridMultilevel"/>
    <w:tmpl w:val="F9A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1095"/>
    <w:multiLevelType w:val="hybridMultilevel"/>
    <w:tmpl w:val="E9DE7322"/>
    <w:lvl w:ilvl="0" w:tplc="594ABE3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E44692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E24C79E">
      <w:start w:val="1"/>
      <w:numFmt w:val="decimal"/>
      <w:lvlText w:val="(%3)"/>
      <w:lvlJc w:val="left"/>
      <w:pPr>
        <w:ind w:left="2160" w:hanging="360"/>
      </w:pPr>
      <w:rPr>
        <w:rFonts w:hint="default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D10A2"/>
    <w:multiLevelType w:val="hybridMultilevel"/>
    <w:tmpl w:val="C734B086"/>
    <w:lvl w:ilvl="0" w:tplc="594ABE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5105E"/>
    <w:multiLevelType w:val="hybridMultilevel"/>
    <w:tmpl w:val="66DC76DE"/>
    <w:lvl w:ilvl="0" w:tplc="25CEC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26C4E"/>
    <w:multiLevelType w:val="hybridMultilevel"/>
    <w:tmpl w:val="67E4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707CC"/>
    <w:multiLevelType w:val="hybridMultilevel"/>
    <w:tmpl w:val="EC9E2A92"/>
    <w:lvl w:ilvl="0" w:tplc="6784B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A0"/>
    <w:rsid w:val="00002087"/>
    <w:rsid w:val="000242CA"/>
    <w:rsid w:val="00033E96"/>
    <w:rsid w:val="00036B70"/>
    <w:rsid w:val="00037A5F"/>
    <w:rsid w:val="00040341"/>
    <w:rsid w:val="000409CF"/>
    <w:rsid w:val="00042CEC"/>
    <w:rsid w:val="00044A1D"/>
    <w:rsid w:val="00044E23"/>
    <w:rsid w:val="0004647F"/>
    <w:rsid w:val="0004718C"/>
    <w:rsid w:val="00055529"/>
    <w:rsid w:val="00055E6D"/>
    <w:rsid w:val="00070112"/>
    <w:rsid w:val="00083E2C"/>
    <w:rsid w:val="00084594"/>
    <w:rsid w:val="00086268"/>
    <w:rsid w:val="00087BF0"/>
    <w:rsid w:val="000B10E5"/>
    <w:rsid w:val="000B63C1"/>
    <w:rsid w:val="000C0363"/>
    <w:rsid w:val="000C4EC8"/>
    <w:rsid w:val="000D0828"/>
    <w:rsid w:val="000E71D9"/>
    <w:rsid w:val="000F6237"/>
    <w:rsid w:val="0011199F"/>
    <w:rsid w:val="00111FF3"/>
    <w:rsid w:val="001232AA"/>
    <w:rsid w:val="0013042D"/>
    <w:rsid w:val="00155AA9"/>
    <w:rsid w:val="00156A02"/>
    <w:rsid w:val="001617DE"/>
    <w:rsid w:val="001705D0"/>
    <w:rsid w:val="00173751"/>
    <w:rsid w:val="00173CEC"/>
    <w:rsid w:val="00177653"/>
    <w:rsid w:val="00187591"/>
    <w:rsid w:val="001A2B80"/>
    <w:rsid w:val="001A3176"/>
    <w:rsid w:val="001B2BFC"/>
    <w:rsid w:val="001B33FE"/>
    <w:rsid w:val="001B7110"/>
    <w:rsid w:val="001C1D2A"/>
    <w:rsid w:val="001C2011"/>
    <w:rsid w:val="001C232B"/>
    <w:rsid w:val="001D6B51"/>
    <w:rsid w:val="001E4842"/>
    <w:rsid w:val="001F14EE"/>
    <w:rsid w:val="001F31D6"/>
    <w:rsid w:val="002007E1"/>
    <w:rsid w:val="00211460"/>
    <w:rsid w:val="00212E48"/>
    <w:rsid w:val="002151AC"/>
    <w:rsid w:val="00216854"/>
    <w:rsid w:val="00226275"/>
    <w:rsid w:val="00231745"/>
    <w:rsid w:val="00231E74"/>
    <w:rsid w:val="0023396F"/>
    <w:rsid w:val="00240039"/>
    <w:rsid w:val="00241B72"/>
    <w:rsid w:val="00242D72"/>
    <w:rsid w:val="00247019"/>
    <w:rsid w:val="00250185"/>
    <w:rsid w:val="00253E15"/>
    <w:rsid w:val="00254FA8"/>
    <w:rsid w:val="00257BCC"/>
    <w:rsid w:val="00262F79"/>
    <w:rsid w:val="00271737"/>
    <w:rsid w:val="00276C81"/>
    <w:rsid w:val="00277000"/>
    <w:rsid w:val="00285540"/>
    <w:rsid w:val="00286886"/>
    <w:rsid w:val="002A15D0"/>
    <w:rsid w:val="002A6B7D"/>
    <w:rsid w:val="002B5BB9"/>
    <w:rsid w:val="002C28B6"/>
    <w:rsid w:val="002C3628"/>
    <w:rsid w:val="002D5843"/>
    <w:rsid w:val="002D6F89"/>
    <w:rsid w:val="002E0274"/>
    <w:rsid w:val="002E2747"/>
    <w:rsid w:val="002F2BB7"/>
    <w:rsid w:val="002F477F"/>
    <w:rsid w:val="002F770E"/>
    <w:rsid w:val="00312BC7"/>
    <w:rsid w:val="00316208"/>
    <w:rsid w:val="003270C6"/>
    <w:rsid w:val="003277E1"/>
    <w:rsid w:val="00342C78"/>
    <w:rsid w:val="00344BAB"/>
    <w:rsid w:val="003462ED"/>
    <w:rsid w:val="00350E8E"/>
    <w:rsid w:val="003526AF"/>
    <w:rsid w:val="003577FA"/>
    <w:rsid w:val="00375C34"/>
    <w:rsid w:val="003803FA"/>
    <w:rsid w:val="00380F6D"/>
    <w:rsid w:val="00383DB3"/>
    <w:rsid w:val="00397845"/>
    <w:rsid w:val="003A665A"/>
    <w:rsid w:val="003B063A"/>
    <w:rsid w:val="003B1A39"/>
    <w:rsid w:val="003C7983"/>
    <w:rsid w:val="003D124C"/>
    <w:rsid w:val="003D27AA"/>
    <w:rsid w:val="003E5CB4"/>
    <w:rsid w:val="003F7F50"/>
    <w:rsid w:val="00402917"/>
    <w:rsid w:val="00404A9C"/>
    <w:rsid w:val="004065F0"/>
    <w:rsid w:val="00421709"/>
    <w:rsid w:val="00441374"/>
    <w:rsid w:val="0044517C"/>
    <w:rsid w:val="00451E86"/>
    <w:rsid w:val="00454FBA"/>
    <w:rsid w:val="00455CF8"/>
    <w:rsid w:val="0046545D"/>
    <w:rsid w:val="00472E41"/>
    <w:rsid w:val="00473E0E"/>
    <w:rsid w:val="00476515"/>
    <w:rsid w:val="00477C7B"/>
    <w:rsid w:val="00481231"/>
    <w:rsid w:val="00490105"/>
    <w:rsid w:val="00490597"/>
    <w:rsid w:val="004976F6"/>
    <w:rsid w:val="004A2BB1"/>
    <w:rsid w:val="004A6205"/>
    <w:rsid w:val="004B182E"/>
    <w:rsid w:val="004B46CC"/>
    <w:rsid w:val="004C30A7"/>
    <w:rsid w:val="004C4750"/>
    <w:rsid w:val="004D2448"/>
    <w:rsid w:val="004D5C9B"/>
    <w:rsid w:val="004D5D63"/>
    <w:rsid w:val="004D7E1E"/>
    <w:rsid w:val="004E0DB8"/>
    <w:rsid w:val="004E4283"/>
    <w:rsid w:val="004F0394"/>
    <w:rsid w:val="00506EBB"/>
    <w:rsid w:val="00507C9E"/>
    <w:rsid w:val="005101AF"/>
    <w:rsid w:val="00515622"/>
    <w:rsid w:val="00521572"/>
    <w:rsid w:val="00522248"/>
    <w:rsid w:val="00534EEC"/>
    <w:rsid w:val="0053662A"/>
    <w:rsid w:val="0054077C"/>
    <w:rsid w:val="0054560C"/>
    <w:rsid w:val="005503A6"/>
    <w:rsid w:val="0055313B"/>
    <w:rsid w:val="005549CD"/>
    <w:rsid w:val="0055543C"/>
    <w:rsid w:val="00561C27"/>
    <w:rsid w:val="00566F32"/>
    <w:rsid w:val="00567524"/>
    <w:rsid w:val="005704EA"/>
    <w:rsid w:val="00572687"/>
    <w:rsid w:val="00572B8F"/>
    <w:rsid w:val="00580516"/>
    <w:rsid w:val="00580835"/>
    <w:rsid w:val="005828C2"/>
    <w:rsid w:val="00583630"/>
    <w:rsid w:val="00584D12"/>
    <w:rsid w:val="005B1C73"/>
    <w:rsid w:val="005B5C86"/>
    <w:rsid w:val="005B636F"/>
    <w:rsid w:val="005B7346"/>
    <w:rsid w:val="005D4EBF"/>
    <w:rsid w:val="005D7ED4"/>
    <w:rsid w:val="005E28A4"/>
    <w:rsid w:val="005F6374"/>
    <w:rsid w:val="00616A7F"/>
    <w:rsid w:val="00623652"/>
    <w:rsid w:val="00623B39"/>
    <w:rsid w:val="00636F3B"/>
    <w:rsid w:val="00642620"/>
    <w:rsid w:val="00645D84"/>
    <w:rsid w:val="00646714"/>
    <w:rsid w:val="00646EA3"/>
    <w:rsid w:val="006513D0"/>
    <w:rsid w:val="006564CA"/>
    <w:rsid w:val="00657379"/>
    <w:rsid w:val="0066206F"/>
    <w:rsid w:val="00662C7E"/>
    <w:rsid w:val="0066462E"/>
    <w:rsid w:val="00674940"/>
    <w:rsid w:val="00682A70"/>
    <w:rsid w:val="006841A0"/>
    <w:rsid w:val="006874ED"/>
    <w:rsid w:val="00690304"/>
    <w:rsid w:val="0069390F"/>
    <w:rsid w:val="00694538"/>
    <w:rsid w:val="006A04FE"/>
    <w:rsid w:val="006B05F4"/>
    <w:rsid w:val="006B4CF5"/>
    <w:rsid w:val="006B4F53"/>
    <w:rsid w:val="006C1AFF"/>
    <w:rsid w:val="006C799C"/>
    <w:rsid w:val="006D720A"/>
    <w:rsid w:val="006E3F32"/>
    <w:rsid w:val="006E592D"/>
    <w:rsid w:val="006F1B8F"/>
    <w:rsid w:val="006F3560"/>
    <w:rsid w:val="006F63A0"/>
    <w:rsid w:val="00702A12"/>
    <w:rsid w:val="0070488C"/>
    <w:rsid w:val="00704921"/>
    <w:rsid w:val="00704C7D"/>
    <w:rsid w:val="00704CCC"/>
    <w:rsid w:val="007109E8"/>
    <w:rsid w:val="00710E56"/>
    <w:rsid w:val="00711C78"/>
    <w:rsid w:val="00715117"/>
    <w:rsid w:val="0071603C"/>
    <w:rsid w:val="00722FA4"/>
    <w:rsid w:val="007265E2"/>
    <w:rsid w:val="00727D2D"/>
    <w:rsid w:val="007332F2"/>
    <w:rsid w:val="00737526"/>
    <w:rsid w:val="00737677"/>
    <w:rsid w:val="00743023"/>
    <w:rsid w:val="00744FD9"/>
    <w:rsid w:val="00747AF6"/>
    <w:rsid w:val="007630C1"/>
    <w:rsid w:val="007677E8"/>
    <w:rsid w:val="00772FC2"/>
    <w:rsid w:val="00774BD7"/>
    <w:rsid w:val="0077717E"/>
    <w:rsid w:val="007942B6"/>
    <w:rsid w:val="00795BCC"/>
    <w:rsid w:val="007A0C98"/>
    <w:rsid w:val="007A44D3"/>
    <w:rsid w:val="007B4907"/>
    <w:rsid w:val="007B7335"/>
    <w:rsid w:val="007C0C99"/>
    <w:rsid w:val="007D772F"/>
    <w:rsid w:val="007E3676"/>
    <w:rsid w:val="007E7C2C"/>
    <w:rsid w:val="007F01EA"/>
    <w:rsid w:val="007F73A1"/>
    <w:rsid w:val="00804D89"/>
    <w:rsid w:val="00806597"/>
    <w:rsid w:val="00806E33"/>
    <w:rsid w:val="008144E6"/>
    <w:rsid w:val="008265D7"/>
    <w:rsid w:val="00826766"/>
    <w:rsid w:val="008333BD"/>
    <w:rsid w:val="00835195"/>
    <w:rsid w:val="00835595"/>
    <w:rsid w:val="00836880"/>
    <w:rsid w:val="008419A3"/>
    <w:rsid w:val="00844B6E"/>
    <w:rsid w:val="00845204"/>
    <w:rsid w:val="008536A7"/>
    <w:rsid w:val="008617A2"/>
    <w:rsid w:val="008702E9"/>
    <w:rsid w:val="008753A1"/>
    <w:rsid w:val="008773A4"/>
    <w:rsid w:val="00893190"/>
    <w:rsid w:val="00893EE0"/>
    <w:rsid w:val="008A0012"/>
    <w:rsid w:val="008A4024"/>
    <w:rsid w:val="008A671F"/>
    <w:rsid w:val="008B1E65"/>
    <w:rsid w:val="008D623D"/>
    <w:rsid w:val="008D7587"/>
    <w:rsid w:val="008E5A26"/>
    <w:rsid w:val="008F287A"/>
    <w:rsid w:val="008F48B4"/>
    <w:rsid w:val="008F596F"/>
    <w:rsid w:val="00902F3A"/>
    <w:rsid w:val="009152D0"/>
    <w:rsid w:val="00924BAA"/>
    <w:rsid w:val="009321EC"/>
    <w:rsid w:val="009333D4"/>
    <w:rsid w:val="00933837"/>
    <w:rsid w:val="00942213"/>
    <w:rsid w:val="00943475"/>
    <w:rsid w:val="00953181"/>
    <w:rsid w:val="009554C7"/>
    <w:rsid w:val="0096785B"/>
    <w:rsid w:val="009818E4"/>
    <w:rsid w:val="009901AC"/>
    <w:rsid w:val="00991C71"/>
    <w:rsid w:val="00995D91"/>
    <w:rsid w:val="009A0F2C"/>
    <w:rsid w:val="009A1573"/>
    <w:rsid w:val="009A2E48"/>
    <w:rsid w:val="009A3E1B"/>
    <w:rsid w:val="009A5CDD"/>
    <w:rsid w:val="009A6255"/>
    <w:rsid w:val="009A7337"/>
    <w:rsid w:val="009A768D"/>
    <w:rsid w:val="009B240E"/>
    <w:rsid w:val="009B2FD0"/>
    <w:rsid w:val="009C71A7"/>
    <w:rsid w:val="009C738D"/>
    <w:rsid w:val="009C760A"/>
    <w:rsid w:val="009D0C0F"/>
    <w:rsid w:val="009D4170"/>
    <w:rsid w:val="009E10A5"/>
    <w:rsid w:val="009F2482"/>
    <w:rsid w:val="00A05B80"/>
    <w:rsid w:val="00A11F5F"/>
    <w:rsid w:val="00A122AB"/>
    <w:rsid w:val="00A270B5"/>
    <w:rsid w:val="00A31570"/>
    <w:rsid w:val="00A42B5D"/>
    <w:rsid w:val="00A52581"/>
    <w:rsid w:val="00A56E8B"/>
    <w:rsid w:val="00A62645"/>
    <w:rsid w:val="00A669ED"/>
    <w:rsid w:val="00A73010"/>
    <w:rsid w:val="00A73446"/>
    <w:rsid w:val="00A77F2E"/>
    <w:rsid w:val="00A85994"/>
    <w:rsid w:val="00A87A1A"/>
    <w:rsid w:val="00A919B6"/>
    <w:rsid w:val="00AA0BE0"/>
    <w:rsid w:val="00AA6119"/>
    <w:rsid w:val="00AA61DD"/>
    <w:rsid w:val="00AB0395"/>
    <w:rsid w:val="00AB0E54"/>
    <w:rsid w:val="00AC1870"/>
    <w:rsid w:val="00AC505A"/>
    <w:rsid w:val="00AC7FEB"/>
    <w:rsid w:val="00AD3CC7"/>
    <w:rsid w:val="00AE324F"/>
    <w:rsid w:val="00AE66AB"/>
    <w:rsid w:val="00AE6EAE"/>
    <w:rsid w:val="00AF304C"/>
    <w:rsid w:val="00B108A4"/>
    <w:rsid w:val="00B13126"/>
    <w:rsid w:val="00B15786"/>
    <w:rsid w:val="00B17AEC"/>
    <w:rsid w:val="00B20519"/>
    <w:rsid w:val="00B25118"/>
    <w:rsid w:val="00B309B7"/>
    <w:rsid w:val="00B335DF"/>
    <w:rsid w:val="00B44077"/>
    <w:rsid w:val="00B46C4B"/>
    <w:rsid w:val="00B46E5F"/>
    <w:rsid w:val="00B502BA"/>
    <w:rsid w:val="00B51807"/>
    <w:rsid w:val="00B52A31"/>
    <w:rsid w:val="00B53068"/>
    <w:rsid w:val="00B53DCA"/>
    <w:rsid w:val="00B547E2"/>
    <w:rsid w:val="00B7359D"/>
    <w:rsid w:val="00B76F8F"/>
    <w:rsid w:val="00B816A3"/>
    <w:rsid w:val="00B819C2"/>
    <w:rsid w:val="00B90C7D"/>
    <w:rsid w:val="00B91905"/>
    <w:rsid w:val="00B91BDC"/>
    <w:rsid w:val="00B9234C"/>
    <w:rsid w:val="00B927FA"/>
    <w:rsid w:val="00B97826"/>
    <w:rsid w:val="00BA2065"/>
    <w:rsid w:val="00BA30EC"/>
    <w:rsid w:val="00BB00FA"/>
    <w:rsid w:val="00BB1C04"/>
    <w:rsid w:val="00BB2629"/>
    <w:rsid w:val="00BB4909"/>
    <w:rsid w:val="00BB5A3B"/>
    <w:rsid w:val="00BC29B5"/>
    <w:rsid w:val="00BD2CAE"/>
    <w:rsid w:val="00BD475F"/>
    <w:rsid w:val="00BF0155"/>
    <w:rsid w:val="00BF7B21"/>
    <w:rsid w:val="00C01DB8"/>
    <w:rsid w:val="00C0226B"/>
    <w:rsid w:val="00C12B39"/>
    <w:rsid w:val="00C15C5C"/>
    <w:rsid w:val="00C15EE2"/>
    <w:rsid w:val="00C2083C"/>
    <w:rsid w:val="00C31EBE"/>
    <w:rsid w:val="00C416B7"/>
    <w:rsid w:val="00C47565"/>
    <w:rsid w:val="00C479DB"/>
    <w:rsid w:val="00C55D4E"/>
    <w:rsid w:val="00C6497E"/>
    <w:rsid w:val="00C7119F"/>
    <w:rsid w:val="00C87D19"/>
    <w:rsid w:val="00C91DEF"/>
    <w:rsid w:val="00C92CB8"/>
    <w:rsid w:val="00CB0C8B"/>
    <w:rsid w:val="00CB564C"/>
    <w:rsid w:val="00CC26E8"/>
    <w:rsid w:val="00CC5CFD"/>
    <w:rsid w:val="00CD20D7"/>
    <w:rsid w:val="00CD4090"/>
    <w:rsid w:val="00CD61BA"/>
    <w:rsid w:val="00CE07AE"/>
    <w:rsid w:val="00CE1E38"/>
    <w:rsid w:val="00CE28CA"/>
    <w:rsid w:val="00CE2AB8"/>
    <w:rsid w:val="00CE4705"/>
    <w:rsid w:val="00CE5567"/>
    <w:rsid w:val="00CE783A"/>
    <w:rsid w:val="00CF3CB0"/>
    <w:rsid w:val="00CF3EE4"/>
    <w:rsid w:val="00D06201"/>
    <w:rsid w:val="00D113D0"/>
    <w:rsid w:val="00D20C1B"/>
    <w:rsid w:val="00D21739"/>
    <w:rsid w:val="00D257DE"/>
    <w:rsid w:val="00D36596"/>
    <w:rsid w:val="00D369E7"/>
    <w:rsid w:val="00D42EFE"/>
    <w:rsid w:val="00D45936"/>
    <w:rsid w:val="00D549DE"/>
    <w:rsid w:val="00D55DEE"/>
    <w:rsid w:val="00D563C5"/>
    <w:rsid w:val="00D571D0"/>
    <w:rsid w:val="00D63A48"/>
    <w:rsid w:val="00D642C4"/>
    <w:rsid w:val="00D723B3"/>
    <w:rsid w:val="00D80B0F"/>
    <w:rsid w:val="00D80BEF"/>
    <w:rsid w:val="00D8112D"/>
    <w:rsid w:val="00D830B4"/>
    <w:rsid w:val="00D867B6"/>
    <w:rsid w:val="00D91094"/>
    <w:rsid w:val="00D9642A"/>
    <w:rsid w:val="00DA242E"/>
    <w:rsid w:val="00DA24C1"/>
    <w:rsid w:val="00DA3398"/>
    <w:rsid w:val="00DB626C"/>
    <w:rsid w:val="00DC52F0"/>
    <w:rsid w:val="00DC590D"/>
    <w:rsid w:val="00DD6B30"/>
    <w:rsid w:val="00DE03EB"/>
    <w:rsid w:val="00DE160A"/>
    <w:rsid w:val="00DF10F3"/>
    <w:rsid w:val="00DF3C01"/>
    <w:rsid w:val="00E11513"/>
    <w:rsid w:val="00E23407"/>
    <w:rsid w:val="00E26388"/>
    <w:rsid w:val="00E30BA7"/>
    <w:rsid w:val="00E30DE6"/>
    <w:rsid w:val="00E3312A"/>
    <w:rsid w:val="00E40C5C"/>
    <w:rsid w:val="00E74398"/>
    <w:rsid w:val="00E749A7"/>
    <w:rsid w:val="00E81B20"/>
    <w:rsid w:val="00E9277E"/>
    <w:rsid w:val="00E95116"/>
    <w:rsid w:val="00EB4C64"/>
    <w:rsid w:val="00EB6671"/>
    <w:rsid w:val="00EC1896"/>
    <w:rsid w:val="00EC38B7"/>
    <w:rsid w:val="00ED0B7F"/>
    <w:rsid w:val="00EF0493"/>
    <w:rsid w:val="00F1075F"/>
    <w:rsid w:val="00F149DF"/>
    <w:rsid w:val="00F15661"/>
    <w:rsid w:val="00F15852"/>
    <w:rsid w:val="00F15960"/>
    <w:rsid w:val="00F17BF0"/>
    <w:rsid w:val="00F205FF"/>
    <w:rsid w:val="00F20784"/>
    <w:rsid w:val="00F20833"/>
    <w:rsid w:val="00F221B9"/>
    <w:rsid w:val="00F22436"/>
    <w:rsid w:val="00F302B8"/>
    <w:rsid w:val="00F34CBD"/>
    <w:rsid w:val="00F431C7"/>
    <w:rsid w:val="00F53CBD"/>
    <w:rsid w:val="00F5407F"/>
    <w:rsid w:val="00F55E53"/>
    <w:rsid w:val="00F722B2"/>
    <w:rsid w:val="00F72D48"/>
    <w:rsid w:val="00F72D9B"/>
    <w:rsid w:val="00F80BB7"/>
    <w:rsid w:val="00F84E3C"/>
    <w:rsid w:val="00F85475"/>
    <w:rsid w:val="00F91256"/>
    <w:rsid w:val="00F9296B"/>
    <w:rsid w:val="00F92CCC"/>
    <w:rsid w:val="00FA0955"/>
    <w:rsid w:val="00FA170D"/>
    <w:rsid w:val="00FA1E49"/>
    <w:rsid w:val="00FA4955"/>
    <w:rsid w:val="00FC06BE"/>
    <w:rsid w:val="00FC157C"/>
    <w:rsid w:val="00FC6EAF"/>
    <w:rsid w:val="00FD4AC6"/>
    <w:rsid w:val="00FE21D0"/>
    <w:rsid w:val="00FE5C28"/>
    <w:rsid w:val="00FE6CE7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586D"/>
  <w15:chartTrackingRefBased/>
  <w15:docId w15:val="{83747308-1C6C-4E39-BA32-3BC1CF9E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024"/>
  </w:style>
  <w:style w:type="paragraph" w:styleId="Footer">
    <w:name w:val="footer"/>
    <w:basedOn w:val="Normal"/>
    <w:link w:val="FooterChar"/>
    <w:uiPriority w:val="99"/>
    <w:unhideWhenUsed/>
    <w:rsid w:val="008A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024"/>
  </w:style>
  <w:style w:type="character" w:styleId="FollowedHyperlink">
    <w:name w:val="FollowedHyperlink"/>
    <w:basedOn w:val="DefaultParagraphFont"/>
    <w:uiPriority w:val="99"/>
    <w:semiHidden/>
    <w:unhideWhenUsed/>
    <w:rsid w:val="005704E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2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gov.github.io/CMCS-DSG-DSS-Certific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caid.gov/federal-policy-guidance/downloads/smd2200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hcf.org/wp-content/uploads/2021/03/PhysiciansAlmanac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msgov.github.io/CMCS-DSG-DSS-Certification/Outcomes%20and%20Metrics/Health%20Information%20Exchange%20(HIE)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 Manifest MedEx Additional Materials DxF Comments</dc:title>
  <dc:subject/>
  <dc:creator>Felix Su</dc:creator>
  <cp:keywords/>
  <dc:description/>
  <cp:lastModifiedBy>McCarthy, Sheryl@CDII</cp:lastModifiedBy>
  <cp:revision>2</cp:revision>
  <dcterms:created xsi:type="dcterms:W3CDTF">2022-06-03T22:19:00Z</dcterms:created>
  <dcterms:modified xsi:type="dcterms:W3CDTF">2022-06-03T22:19:00Z</dcterms:modified>
</cp:coreProperties>
</file>