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00BB3" w14:textId="77777777" w:rsidR="009C0F59" w:rsidRDefault="009C0F59"/>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2880"/>
        <w:gridCol w:w="9450"/>
      </w:tblGrid>
      <w:tr w:rsidR="00656B2D" w:rsidRPr="00B77B78" w14:paraId="2D70C688" w14:textId="77777777" w:rsidTr="00B77B78">
        <w:trPr>
          <w:cantSplit/>
          <w:tblHeader/>
        </w:trPr>
        <w:tc>
          <w:tcPr>
            <w:tcW w:w="2178" w:type="dxa"/>
            <w:shd w:val="clear" w:color="auto" w:fill="D9D9D9"/>
          </w:tcPr>
          <w:p w14:paraId="72AD7C82" w14:textId="77777777" w:rsidR="00656B2D" w:rsidRPr="00B77B78" w:rsidRDefault="00656B2D" w:rsidP="00B77B78">
            <w:pPr>
              <w:jc w:val="center"/>
              <w:rPr>
                <w:rFonts w:eastAsia="Calibri" w:cs="Arial"/>
                <w:b/>
                <w:bCs/>
                <w:iCs/>
                <w:szCs w:val="22"/>
              </w:rPr>
            </w:pPr>
            <w:bookmarkStart w:id="0" w:name="_Toc378604220"/>
            <w:r w:rsidRPr="00B77B78">
              <w:rPr>
                <w:rFonts w:eastAsia="Calibri" w:cs="Arial"/>
                <w:b/>
                <w:bCs/>
                <w:iCs/>
                <w:szCs w:val="22"/>
              </w:rPr>
              <w:t>Subject</w:t>
            </w:r>
            <w:bookmarkEnd w:id="0"/>
          </w:p>
        </w:tc>
        <w:tc>
          <w:tcPr>
            <w:tcW w:w="2880" w:type="dxa"/>
            <w:shd w:val="clear" w:color="auto" w:fill="D9D9D9"/>
            <w:vAlign w:val="center"/>
          </w:tcPr>
          <w:p w14:paraId="048E870F" w14:textId="77777777" w:rsidR="00656B2D" w:rsidRPr="00B77B78" w:rsidRDefault="00656B2D" w:rsidP="00B77B78">
            <w:pPr>
              <w:jc w:val="center"/>
              <w:rPr>
                <w:rFonts w:eastAsia="Calibri" w:cs="Arial"/>
                <w:b/>
                <w:bCs/>
                <w:iCs/>
                <w:szCs w:val="22"/>
              </w:rPr>
            </w:pPr>
            <w:bookmarkStart w:id="1" w:name="_Toc378604221"/>
            <w:r w:rsidRPr="00B77B78">
              <w:rPr>
                <w:rFonts w:eastAsia="Calibri" w:cs="Arial"/>
                <w:b/>
                <w:bCs/>
                <w:iCs/>
                <w:szCs w:val="22"/>
              </w:rPr>
              <w:t>Question</w:t>
            </w:r>
            <w:bookmarkEnd w:id="1"/>
          </w:p>
        </w:tc>
        <w:tc>
          <w:tcPr>
            <w:tcW w:w="9450" w:type="dxa"/>
            <w:shd w:val="clear" w:color="auto" w:fill="D9D9D9"/>
          </w:tcPr>
          <w:p w14:paraId="6ADFF96D" w14:textId="77777777" w:rsidR="00656B2D" w:rsidRPr="00B77B78" w:rsidRDefault="00656B2D" w:rsidP="00B77B78">
            <w:pPr>
              <w:jc w:val="center"/>
              <w:rPr>
                <w:rFonts w:eastAsia="Calibri" w:cs="Arial"/>
                <w:b/>
                <w:bCs/>
                <w:iCs/>
                <w:szCs w:val="22"/>
              </w:rPr>
            </w:pPr>
            <w:bookmarkStart w:id="2" w:name="_Toc378604222"/>
            <w:r w:rsidRPr="00B77B78">
              <w:rPr>
                <w:rFonts w:eastAsia="Calibri" w:cs="Arial"/>
                <w:b/>
                <w:bCs/>
                <w:iCs/>
                <w:szCs w:val="22"/>
              </w:rPr>
              <w:t>Answer</w:t>
            </w:r>
            <w:bookmarkEnd w:id="2"/>
          </w:p>
        </w:tc>
      </w:tr>
      <w:tr w:rsidR="00656B2D" w:rsidRPr="00B77B78" w14:paraId="1FEB0770" w14:textId="77777777" w:rsidTr="00B77B78">
        <w:trPr>
          <w:cantSplit/>
        </w:trPr>
        <w:tc>
          <w:tcPr>
            <w:tcW w:w="2178" w:type="dxa"/>
            <w:shd w:val="clear" w:color="auto" w:fill="auto"/>
            <w:vAlign w:val="center"/>
          </w:tcPr>
          <w:p w14:paraId="5A7D13AA" w14:textId="77777777" w:rsidR="00656B2D" w:rsidRPr="00B77B78" w:rsidRDefault="00656B2D" w:rsidP="00B77B78">
            <w:pPr>
              <w:jc w:val="right"/>
              <w:rPr>
                <w:rStyle w:val="Heading2Char"/>
                <w:rFonts w:ascii="Arial" w:eastAsia="Calibri" w:hAnsi="Arial" w:cs="Arial"/>
                <w:b w:val="0"/>
                <w:bCs w:val="0"/>
                <w:i w:val="0"/>
                <w:sz w:val="22"/>
                <w:szCs w:val="22"/>
              </w:rPr>
            </w:pPr>
            <w:r w:rsidRPr="00B77B78">
              <w:rPr>
                <w:rStyle w:val="Heading2Char"/>
                <w:rFonts w:ascii="Arial" w:eastAsia="Calibri" w:hAnsi="Arial" w:cs="Arial"/>
                <w:b w:val="0"/>
                <w:bCs w:val="0"/>
                <w:i w:val="0"/>
                <w:sz w:val="22"/>
                <w:szCs w:val="22"/>
              </w:rPr>
              <w:t>Acknowledgment of Receipt in Emergencies</w:t>
            </w:r>
          </w:p>
        </w:tc>
        <w:tc>
          <w:tcPr>
            <w:tcW w:w="2880" w:type="dxa"/>
            <w:shd w:val="clear" w:color="auto" w:fill="auto"/>
            <w:vAlign w:val="center"/>
          </w:tcPr>
          <w:p w14:paraId="0B684CCF" w14:textId="77777777" w:rsidR="00656B2D" w:rsidRPr="00B77B78" w:rsidRDefault="00656B2D" w:rsidP="00B77B78">
            <w:pPr>
              <w:rPr>
                <w:rFonts w:eastAsia="Calibri" w:cs="Arial"/>
                <w:i/>
                <w:iCs/>
                <w:szCs w:val="22"/>
              </w:rPr>
            </w:pPr>
            <w:r w:rsidRPr="00B77B78">
              <w:rPr>
                <w:rFonts w:eastAsia="Calibri" w:cs="Arial"/>
                <w:i/>
                <w:iCs/>
                <w:szCs w:val="22"/>
              </w:rPr>
              <w:t xml:space="preserve">When is it okay to not offer the </w:t>
            </w:r>
            <w:r w:rsidR="005458BD">
              <w:rPr>
                <w:rFonts w:eastAsia="Calibri" w:cs="Arial"/>
                <w:i/>
                <w:iCs/>
                <w:szCs w:val="22"/>
              </w:rPr>
              <w:t>NPP</w:t>
            </w:r>
            <w:r w:rsidRPr="00B77B78">
              <w:rPr>
                <w:rFonts w:eastAsia="Calibri" w:cs="Arial"/>
                <w:i/>
                <w:iCs/>
                <w:szCs w:val="22"/>
              </w:rPr>
              <w:t xml:space="preserve"> and collect the   Acknowledgment of Receipt of the Notice from a patient?</w:t>
            </w:r>
          </w:p>
        </w:tc>
        <w:tc>
          <w:tcPr>
            <w:tcW w:w="9450" w:type="dxa"/>
            <w:shd w:val="clear" w:color="auto" w:fill="auto"/>
            <w:vAlign w:val="center"/>
          </w:tcPr>
          <w:p w14:paraId="3B5751D4" w14:textId="77777777" w:rsidR="00656B2D" w:rsidRPr="00B77B78" w:rsidRDefault="00656B2D" w:rsidP="00B77B78">
            <w:pPr>
              <w:spacing w:before="60" w:after="60" w:line="276" w:lineRule="auto"/>
              <w:rPr>
                <w:rFonts w:eastAsia="Calibri" w:cs="Arial"/>
                <w:szCs w:val="22"/>
              </w:rPr>
            </w:pPr>
            <w:r w:rsidRPr="00B77B78">
              <w:rPr>
                <w:rFonts w:eastAsia="Calibri" w:cs="Arial"/>
                <w:szCs w:val="22"/>
              </w:rPr>
              <w:t xml:space="preserve">In an emergency treatment situation, the </w:t>
            </w:r>
            <w:r w:rsidR="005458BD">
              <w:rPr>
                <w:rFonts w:eastAsia="Calibri" w:cs="Arial"/>
                <w:szCs w:val="22"/>
              </w:rPr>
              <w:t>NPP</w:t>
            </w:r>
            <w:r w:rsidRPr="00B77B78">
              <w:rPr>
                <w:rFonts w:eastAsia="Calibri" w:cs="Arial"/>
                <w:szCs w:val="22"/>
              </w:rPr>
              <w:t xml:space="preserve"> must be provided as soon as it is reasonably practical to do so after the emergency situation has ended. Each covered entity (CE) should describe what constitutes a health emergency in its policies and procedures.</w:t>
            </w:r>
          </w:p>
        </w:tc>
      </w:tr>
      <w:tr w:rsidR="00656B2D" w:rsidRPr="00B77B78" w14:paraId="2ACC76B9" w14:textId="77777777" w:rsidTr="00B77B78">
        <w:trPr>
          <w:cantSplit/>
        </w:trPr>
        <w:tc>
          <w:tcPr>
            <w:tcW w:w="2178" w:type="dxa"/>
            <w:shd w:val="clear" w:color="auto" w:fill="auto"/>
            <w:vAlign w:val="center"/>
          </w:tcPr>
          <w:p w14:paraId="168909DD" w14:textId="77777777" w:rsidR="00656B2D" w:rsidRPr="00B77B78" w:rsidRDefault="00656B2D" w:rsidP="00B77B78">
            <w:pPr>
              <w:jc w:val="right"/>
              <w:rPr>
                <w:rStyle w:val="Heading2Char"/>
                <w:rFonts w:ascii="Arial" w:eastAsia="Calibri" w:hAnsi="Arial" w:cs="Arial"/>
                <w:b w:val="0"/>
                <w:bCs w:val="0"/>
                <w:i w:val="0"/>
                <w:sz w:val="22"/>
                <w:szCs w:val="22"/>
              </w:rPr>
            </w:pPr>
            <w:r w:rsidRPr="00B77B78">
              <w:rPr>
                <w:rStyle w:val="Heading2Char"/>
                <w:rFonts w:ascii="Arial" w:eastAsia="Calibri" w:hAnsi="Arial" w:cs="Arial"/>
                <w:b w:val="0"/>
                <w:bCs w:val="0"/>
                <w:i w:val="0"/>
                <w:sz w:val="22"/>
                <w:szCs w:val="22"/>
              </w:rPr>
              <w:t>Contact Information on the Notice of Privacy Practices</w:t>
            </w:r>
          </w:p>
        </w:tc>
        <w:tc>
          <w:tcPr>
            <w:tcW w:w="2880" w:type="dxa"/>
            <w:shd w:val="clear" w:color="auto" w:fill="auto"/>
            <w:vAlign w:val="center"/>
          </w:tcPr>
          <w:p w14:paraId="224C2347" w14:textId="77777777" w:rsidR="00656B2D" w:rsidRPr="00B77B78" w:rsidRDefault="00656B2D" w:rsidP="00B77B78">
            <w:pPr>
              <w:rPr>
                <w:rFonts w:eastAsia="Calibri" w:cs="Arial"/>
                <w:i/>
                <w:szCs w:val="22"/>
              </w:rPr>
            </w:pPr>
            <w:r w:rsidRPr="00B77B78">
              <w:rPr>
                <w:rFonts w:eastAsia="Calibri" w:cs="Arial"/>
                <w:i/>
                <w:szCs w:val="22"/>
              </w:rPr>
              <w:t xml:space="preserve">Is it okay to use an individual’s name and a direct phone number for the </w:t>
            </w:r>
            <w:r w:rsidR="005458BD">
              <w:rPr>
                <w:rFonts w:eastAsia="Calibri" w:cs="Arial"/>
                <w:i/>
                <w:szCs w:val="22"/>
              </w:rPr>
              <w:t>NPP</w:t>
            </w:r>
            <w:r w:rsidRPr="00B77B78">
              <w:rPr>
                <w:rFonts w:eastAsia="Calibri" w:cs="Arial"/>
                <w:i/>
                <w:szCs w:val="22"/>
              </w:rPr>
              <w:t xml:space="preserve"> contact?</w:t>
            </w:r>
          </w:p>
        </w:tc>
        <w:tc>
          <w:tcPr>
            <w:tcW w:w="9450" w:type="dxa"/>
            <w:shd w:val="clear" w:color="auto" w:fill="auto"/>
            <w:vAlign w:val="center"/>
          </w:tcPr>
          <w:p w14:paraId="5DF212EA" w14:textId="77777777" w:rsidR="00656B2D" w:rsidRPr="00B77B78" w:rsidRDefault="00656B2D" w:rsidP="00B77B78">
            <w:pPr>
              <w:spacing w:before="120" w:after="120" w:line="276" w:lineRule="auto"/>
              <w:rPr>
                <w:rFonts w:eastAsia="Calibri" w:cs="Arial"/>
                <w:szCs w:val="22"/>
              </w:rPr>
            </w:pPr>
            <w:r w:rsidRPr="00B77B78">
              <w:rPr>
                <w:rFonts w:eastAsia="Calibri" w:cs="Arial"/>
                <w:szCs w:val="22"/>
              </w:rPr>
              <w:t xml:space="preserve">It is not advised due to the potential for personnel changes, </w:t>
            </w:r>
            <w:proofErr w:type="gramStart"/>
            <w:r w:rsidRPr="00B77B78">
              <w:rPr>
                <w:rFonts w:eastAsia="Calibri" w:cs="Arial"/>
                <w:szCs w:val="22"/>
              </w:rPr>
              <w:t>vacations</w:t>
            </w:r>
            <w:proofErr w:type="gramEnd"/>
            <w:r w:rsidRPr="00B77B78">
              <w:rPr>
                <w:rFonts w:eastAsia="Calibri" w:cs="Arial"/>
                <w:szCs w:val="22"/>
              </w:rPr>
              <w:t xml:space="preserve"> and potential for phone number modifications.  The phone number should be one that is regularly monitored (daily) and is established for the sole purpose of privacy-related functions of the entity to ensure patient concerns are addressed through prompt response to inquiries.   As a reminder, the notice must contain the title of a person or office to contact for further information and a telephone number of such person or office. </w:t>
            </w:r>
          </w:p>
        </w:tc>
      </w:tr>
      <w:tr w:rsidR="00656B2D" w:rsidRPr="00B77B78" w14:paraId="3AA742B6" w14:textId="77777777" w:rsidTr="00B77B78">
        <w:trPr>
          <w:cantSplit/>
        </w:trPr>
        <w:tc>
          <w:tcPr>
            <w:tcW w:w="2178" w:type="dxa"/>
            <w:shd w:val="clear" w:color="auto" w:fill="auto"/>
            <w:vAlign w:val="center"/>
          </w:tcPr>
          <w:p w14:paraId="00F35746" w14:textId="77777777" w:rsidR="00656B2D" w:rsidRPr="00B77B78" w:rsidRDefault="00656B2D" w:rsidP="00B77B78">
            <w:pPr>
              <w:jc w:val="right"/>
              <w:rPr>
                <w:rStyle w:val="Heading2Char"/>
                <w:rFonts w:ascii="Arial" w:eastAsia="Calibri" w:hAnsi="Arial" w:cs="Arial"/>
                <w:b w:val="0"/>
                <w:bCs w:val="0"/>
                <w:i w:val="0"/>
                <w:sz w:val="22"/>
                <w:szCs w:val="22"/>
              </w:rPr>
            </w:pPr>
            <w:r w:rsidRPr="00B77B78">
              <w:rPr>
                <w:rStyle w:val="Heading2Char"/>
                <w:rFonts w:ascii="Arial" w:eastAsia="Calibri" w:hAnsi="Arial" w:cs="Arial"/>
                <w:b w:val="0"/>
                <w:bCs w:val="0"/>
                <w:i w:val="0"/>
                <w:sz w:val="22"/>
                <w:szCs w:val="22"/>
              </w:rPr>
              <w:t>Coordinating the Website Notices and Paper Notices</w:t>
            </w:r>
          </w:p>
        </w:tc>
        <w:tc>
          <w:tcPr>
            <w:tcW w:w="2880" w:type="dxa"/>
            <w:shd w:val="clear" w:color="auto" w:fill="auto"/>
            <w:vAlign w:val="center"/>
          </w:tcPr>
          <w:p w14:paraId="1267D786" w14:textId="77777777" w:rsidR="00656B2D" w:rsidRPr="00B77B78" w:rsidRDefault="00656B2D" w:rsidP="00B77B78">
            <w:pPr>
              <w:rPr>
                <w:rFonts w:eastAsia="Calibri" w:cs="Arial"/>
                <w:i/>
                <w:szCs w:val="22"/>
              </w:rPr>
            </w:pPr>
            <w:r w:rsidRPr="00B77B78">
              <w:rPr>
                <w:rFonts w:eastAsia="Calibri" w:cs="Arial"/>
                <w:i/>
                <w:szCs w:val="22"/>
              </w:rPr>
              <w:t xml:space="preserve">When the </w:t>
            </w:r>
            <w:r w:rsidR="005458BD">
              <w:rPr>
                <w:rFonts w:eastAsia="Calibri" w:cs="Arial"/>
                <w:i/>
                <w:szCs w:val="22"/>
              </w:rPr>
              <w:t>NPP</w:t>
            </w:r>
            <w:r w:rsidRPr="00B77B78">
              <w:rPr>
                <w:rFonts w:eastAsia="Calibri" w:cs="Arial"/>
                <w:i/>
                <w:szCs w:val="22"/>
              </w:rPr>
              <w:t xml:space="preserve"> is updated is it okay to do the paper version separate from the website version?</w:t>
            </w:r>
          </w:p>
        </w:tc>
        <w:tc>
          <w:tcPr>
            <w:tcW w:w="9450" w:type="dxa"/>
            <w:shd w:val="clear" w:color="auto" w:fill="auto"/>
            <w:vAlign w:val="center"/>
          </w:tcPr>
          <w:p w14:paraId="34C3E0E9" w14:textId="77777777" w:rsidR="00656B2D" w:rsidRPr="00B77B78" w:rsidRDefault="00656B2D" w:rsidP="00B77B78">
            <w:pPr>
              <w:spacing w:before="60" w:after="60" w:line="276" w:lineRule="auto"/>
              <w:rPr>
                <w:rFonts w:eastAsia="Calibri" w:cs="Arial"/>
                <w:szCs w:val="22"/>
              </w:rPr>
            </w:pPr>
            <w:r w:rsidRPr="00B77B78">
              <w:rPr>
                <w:rFonts w:eastAsia="Calibri" w:cs="Arial"/>
                <w:szCs w:val="22"/>
              </w:rPr>
              <w:t xml:space="preserve">No.  </w:t>
            </w:r>
          </w:p>
          <w:p w14:paraId="59981695" w14:textId="77777777" w:rsidR="00656B2D" w:rsidRPr="00B77B78" w:rsidRDefault="00656B2D" w:rsidP="00B77B78">
            <w:pPr>
              <w:spacing w:before="120" w:after="60" w:line="276" w:lineRule="auto"/>
              <w:rPr>
                <w:rFonts w:eastAsia="Calibri" w:cs="Arial"/>
                <w:szCs w:val="22"/>
              </w:rPr>
            </w:pPr>
            <w:r w:rsidRPr="00B77B78">
              <w:rPr>
                <w:rFonts w:eastAsia="Calibri" w:cs="Arial"/>
                <w:szCs w:val="22"/>
              </w:rPr>
              <w:t xml:space="preserve">Both paper and electronic notices should match in content and effective date.  Coordination of paper notices and electronic notices often requires a separate set of resources.  In planning for an update to the </w:t>
            </w:r>
            <w:r w:rsidR="005458BD">
              <w:rPr>
                <w:rFonts w:eastAsia="Calibri" w:cs="Arial"/>
                <w:szCs w:val="22"/>
              </w:rPr>
              <w:t>NPP</w:t>
            </w:r>
            <w:r w:rsidRPr="00B77B78">
              <w:rPr>
                <w:rFonts w:eastAsia="Calibri" w:cs="Arial"/>
                <w:szCs w:val="22"/>
              </w:rPr>
              <w:t>, be sure to communicate the importance of coordinating the timing of paper and website notices.</w:t>
            </w:r>
          </w:p>
        </w:tc>
      </w:tr>
      <w:tr w:rsidR="00656B2D" w:rsidRPr="00B77B78" w14:paraId="6ED832FC" w14:textId="77777777" w:rsidTr="00B77B78">
        <w:trPr>
          <w:cantSplit/>
        </w:trPr>
        <w:tc>
          <w:tcPr>
            <w:tcW w:w="2178" w:type="dxa"/>
            <w:shd w:val="clear" w:color="auto" w:fill="auto"/>
            <w:vAlign w:val="center"/>
          </w:tcPr>
          <w:p w14:paraId="3DB7038E" w14:textId="77777777" w:rsidR="00656B2D" w:rsidRPr="00B77B78" w:rsidRDefault="00656B2D" w:rsidP="00B77B78">
            <w:pPr>
              <w:jc w:val="right"/>
              <w:rPr>
                <w:rStyle w:val="Heading2Char"/>
                <w:rFonts w:ascii="Arial" w:eastAsia="Calibri" w:hAnsi="Arial" w:cs="Arial"/>
                <w:b w:val="0"/>
                <w:bCs w:val="0"/>
                <w:i w:val="0"/>
                <w:sz w:val="22"/>
                <w:szCs w:val="22"/>
              </w:rPr>
            </w:pPr>
            <w:r w:rsidRPr="00B77B78">
              <w:rPr>
                <w:rStyle w:val="Heading2Char"/>
                <w:rFonts w:ascii="Arial" w:eastAsia="Calibri" w:hAnsi="Arial" w:cs="Arial"/>
                <w:b w:val="0"/>
                <w:bCs w:val="0"/>
                <w:i w:val="0"/>
                <w:sz w:val="22"/>
                <w:szCs w:val="22"/>
              </w:rPr>
              <w:t>Electronic Notices</w:t>
            </w:r>
          </w:p>
        </w:tc>
        <w:tc>
          <w:tcPr>
            <w:tcW w:w="2880" w:type="dxa"/>
            <w:shd w:val="clear" w:color="auto" w:fill="auto"/>
            <w:vAlign w:val="center"/>
          </w:tcPr>
          <w:p w14:paraId="31102458" w14:textId="77777777" w:rsidR="00656B2D" w:rsidRPr="00B77B78" w:rsidRDefault="00656B2D" w:rsidP="00B77B78">
            <w:pPr>
              <w:rPr>
                <w:rFonts w:eastAsia="Calibri" w:cs="Arial"/>
                <w:i/>
                <w:szCs w:val="22"/>
              </w:rPr>
            </w:pPr>
            <w:r w:rsidRPr="00B77B78">
              <w:rPr>
                <w:rFonts w:eastAsia="Calibri" w:cs="Arial"/>
                <w:i/>
                <w:szCs w:val="22"/>
              </w:rPr>
              <w:t>When is electronic notice required?</w:t>
            </w:r>
          </w:p>
        </w:tc>
        <w:tc>
          <w:tcPr>
            <w:tcW w:w="9450" w:type="dxa"/>
            <w:shd w:val="clear" w:color="auto" w:fill="auto"/>
            <w:vAlign w:val="center"/>
          </w:tcPr>
          <w:p w14:paraId="534F21EE" w14:textId="77777777" w:rsidR="00656B2D" w:rsidRPr="00B77B78" w:rsidRDefault="00656B2D" w:rsidP="00B77B78">
            <w:pPr>
              <w:spacing w:before="60" w:after="60" w:line="276" w:lineRule="auto"/>
              <w:rPr>
                <w:rFonts w:eastAsia="Calibri" w:cs="Arial"/>
                <w:szCs w:val="22"/>
              </w:rPr>
            </w:pPr>
            <w:bookmarkStart w:id="3" w:name="i_3_i"/>
            <w:bookmarkEnd w:id="3"/>
            <w:r w:rsidRPr="00B77B78">
              <w:rPr>
                <w:rFonts w:eastAsia="Calibri" w:cs="Arial"/>
                <w:szCs w:val="22"/>
              </w:rPr>
              <w:t>A cove</w:t>
            </w:r>
            <w:r w:rsidR="0043220A">
              <w:rPr>
                <w:rFonts w:eastAsia="Calibri" w:cs="Arial"/>
                <w:szCs w:val="22"/>
              </w:rPr>
              <w:t>red entity that maintains a web</w:t>
            </w:r>
            <w:r w:rsidRPr="00B77B78">
              <w:rPr>
                <w:rFonts w:eastAsia="Calibri" w:cs="Arial"/>
                <w:szCs w:val="22"/>
              </w:rPr>
              <w:t>site that provides information about the covered entity's customer services or benefits must prominently post its notice on the website and make the notice available</w:t>
            </w:r>
            <w:r w:rsidR="0043220A">
              <w:rPr>
                <w:rFonts w:eastAsia="Calibri" w:cs="Arial"/>
                <w:szCs w:val="22"/>
              </w:rPr>
              <w:t xml:space="preserve"> electronically through the web</w:t>
            </w:r>
            <w:r w:rsidRPr="00B77B78">
              <w:rPr>
                <w:rFonts w:eastAsia="Calibri" w:cs="Arial"/>
                <w:szCs w:val="22"/>
              </w:rPr>
              <w:t>site.</w:t>
            </w:r>
          </w:p>
          <w:p w14:paraId="1DD578C3" w14:textId="77777777" w:rsidR="00656B2D" w:rsidRPr="00B77B78" w:rsidRDefault="00656B2D" w:rsidP="00B77B78">
            <w:pPr>
              <w:spacing w:before="60" w:after="60" w:line="276" w:lineRule="auto"/>
              <w:rPr>
                <w:rFonts w:eastAsia="Calibri" w:cs="Arial"/>
                <w:szCs w:val="22"/>
              </w:rPr>
            </w:pPr>
            <w:bookmarkStart w:id="4" w:name="i_3_ii"/>
            <w:bookmarkEnd w:id="4"/>
            <w:r w:rsidRPr="00B77B78">
              <w:rPr>
                <w:rFonts w:eastAsia="Calibri" w:cs="Arial"/>
                <w:szCs w:val="22"/>
              </w:rPr>
              <w:t>A covered entity may provide the notice required by this section to an individual by e-mail, if the individual agrees to electronic notice and such agreement has not been withdrawn. If the covered entity knows that the e-mail transmission has failed, a paper copy of the notice must be provided to the individual in a timely fashion.</w:t>
            </w:r>
          </w:p>
          <w:p w14:paraId="21868764" w14:textId="77777777" w:rsidR="00656B2D" w:rsidRPr="00B77B78" w:rsidRDefault="00656B2D" w:rsidP="00B77B78">
            <w:pPr>
              <w:spacing w:before="60" w:after="60" w:line="276" w:lineRule="auto"/>
              <w:rPr>
                <w:rFonts w:eastAsia="Calibri" w:cs="Arial"/>
                <w:szCs w:val="22"/>
              </w:rPr>
            </w:pPr>
            <w:bookmarkStart w:id="5" w:name="i_3_iii"/>
            <w:bookmarkEnd w:id="5"/>
            <w:r w:rsidRPr="00B77B78">
              <w:rPr>
                <w:rFonts w:eastAsia="Calibri" w:cs="Arial"/>
                <w:szCs w:val="22"/>
              </w:rPr>
              <w:t>If the first service delivery to an individual is electronic, the covered health care provider must provide electronic notice in response to the individual's first request for service in a timely fashion.</w:t>
            </w:r>
          </w:p>
          <w:p w14:paraId="4104C3CC" w14:textId="77777777" w:rsidR="00656B2D" w:rsidRPr="00B77B78" w:rsidRDefault="00656B2D" w:rsidP="00B77B78">
            <w:pPr>
              <w:spacing w:before="60" w:after="60" w:line="276" w:lineRule="auto"/>
              <w:rPr>
                <w:rFonts w:eastAsia="Calibri" w:cs="Arial"/>
                <w:szCs w:val="22"/>
              </w:rPr>
            </w:pPr>
            <w:bookmarkStart w:id="6" w:name="i_3_iv"/>
            <w:bookmarkEnd w:id="6"/>
            <w:r w:rsidRPr="00B77B78">
              <w:rPr>
                <w:rFonts w:eastAsia="Calibri" w:cs="Arial"/>
                <w:szCs w:val="22"/>
              </w:rPr>
              <w:t>The individual who is the recipient of electronic notice retains the right to obtain a paper copy of the notice from a covered entity upon request.</w:t>
            </w:r>
          </w:p>
        </w:tc>
      </w:tr>
      <w:tr w:rsidR="00656B2D" w:rsidRPr="00B77B78" w14:paraId="0CAD2D73" w14:textId="77777777" w:rsidTr="00B77B78">
        <w:trPr>
          <w:cantSplit/>
        </w:trPr>
        <w:tc>
          <w:tcPr>
            <w:tcW w:w="2178" w:type="dxa"/>
            <w:shd w:val="clear" w:color="auto" w:fill="auto"/>
            <w:vAlign w:val="center"/>
          </w:tcPr>
          <w:p w14:paraId="7728F17E" w14:textId="77777777" w:rsidR="00656B2D" w:rsidRPr="00B77B78" w:rsidRDefault="00656B2D" w:rsidP="00B77B78">
            <w:pPr>
              <w:jc w:val="right"/>
              <w:rPr>
                <w:rStyle w:val="Heading2Char"/>
                <w:rFonts w:ascii="Arial" w:eastAsia="Calibri" w:hAnsi="Arial" w:cs="Arial"/>
                <w:b w:val="0"/>
                <w:bCs w:val="0"/>
                <w:i w:val="0"/>
                <w:sz w:val="22"/>
                <w:szCs w:val="22"/>
              </w:rPr>
            </w:pPr>
            <w:bookmarkStart w:id="7" w:name="_Toc378604225"/>
            <w:r w:rsidRPr="00B77B78">
              <w:rPr>
                <w:rStyle w:val="Heading2Char"/>
                <w:rFonts w:ascii="Arial" w:eastAsia="Calibri" w:hAnsi="Arial" w:cs="Arial"/>
                <w:b w:val="0"/>
                <w:bCs w:val="0"/>
                <w:i w:val="0"/>
                <w:sz w:val="22"/>
                <w:szCs w:val="22"/>
              </w:rPr>
              <w:lastRenderedPageBreak/>
              <w:t>Group Health Plans</w:t>
            </w:r>
            <w:bookmarkEnd w:id="7"/>
          </w:p>
        </w:tc>
        <w:tc>
          <w:tcPr>
            <w:tcW w:w="2880" w:type="dxa"/>
            <w:shd w:val="clear" w:color="auto" w:fill="auto"/>
            <w:vAlign w:val="center"/>
          </w:tcPr>
          <w:p w14:paraId="78C56A07" w14:textId="77777777" w:rsidR="00656B2D" w:rsidRPr="00B77B78" w:rsidRDefault="00656B2D" w:rsidP="00B77B78">
            <w:pPr>
              <w:rPr>
                <w:rStyle w:val="Heading2Char"/>
                <w:rFonts w:ascii="Arial" w:eastAsia="Calibri" w:hAnsi="Arial" w:cs="Arial"/>
                <w:b w:val="0"/>
                <w:i w:val="0"/>
                <w:sz w:val="22"/>
                <w:szCs w:val="22"/>
              </w:rPr>
            </w:pPr>
            <w:r w:rsidRPr="00B77B78">
              <w:rPr>
                <w:rFonts w:eastAsia="Calibri" w:cs="Arial"/>
                <w:i/>
                <w:iCs/>
                <w:szCs w:val="22"/>
              </w:rPr>
              <w:t>What requirements must group health plans meet?</w:t>
            </w:r>
          </w:p>
        </w:tc>
        <w:tc>
          <w:tcPr>
            <w:tcW w:w="9450" w:type="dxa"/>
            <w:shd w:val="clear" w:color="auto" w:fill="auto"/>
            <w:vAlign w:val="center"/>
          </w:tcPr>
          <w:p w14:paraId="4881871A" w14:textId="77777777" w:rsidR="00656B2D" w:rsidRPr="00B77B78" w:rsidRDefault="00656B2D" w:rsidP="00B77B78">
            <w:pPr>
              <w:spacing w:before="60" w:after="60" w:line="276" w:lineRule="auto"/>
              <w:rPr>
                <w:rFonts w:eastAsia="Calibri" w:cs="Arial"/>
                <w:szCs w:val="22"/>
              </w:rPr>
            </w:pPr>
            <w:r w:rsidRPr="00B77B78">
              <w:rPr>
                <w:rFonts w:eastAsia="Calibri" w:cs="Arial"/>
                <w:szCs w:val="22"/>
              </w:rPr>
              <w:t xml:space="preserve">An individual enrolled in a group health plan has a right to a notice: </w:t>
            </w:r>
          </w:p>
          <w:p w14:paraId="2C28D454" w14:textId="77777777" w:rsidR="00656B2D" w:rsidRPr="00B77B78" w:rsidRDefault="00656B2D" w:rsidP="00B77B78">
            <w:pPr>
              <w:spacing w:before="60" w:after="60" w:line="276" w:lineRule="auto"/>
              <w:ind w:left="720"/>
              <w:rPr>
                <w:rFonts w:eastAsia="Calibri" w:cs="Arial"/>
                <w:i/>
                <w:szCs w:val="22"/>
              </w:rPr>
            </w:pPr>
            <w:r w:rsidRPr="00B77B78">
              <w:rPr>
                <w:rFonts w:eastAsia="Calibri" w:cs="Arial"/>
                <w:szCs w:val="22"/>
              </w:rPr>
              <w:t xml:space="preserve">From the group health plan, if, and to the extent that, such an individual does not receive health benefits under the group health plan through an insurance contract with a health insurance issuer or Health Maintenance Organization (HMO); or </w:t>
            </w:r>
            <w:r w:rsidRPr="00B77B78">
              <w:rPr>
                <w:rFonts w:eastAsia="Calibri" w:cs="Arial"/>
                <w:szCs w:val="22"/>
              </w:rPr>
              <w:br/>
            </w:r>
            <w:r w:rsidRPr="002B3DDD">
              <w:rPr>
                <w:rFonts w:eastAsia="Calibri" w:cs="Arial"/>
                <w:i/>
                <w:color w:val="767474"/>
                <w:szCs w:val="22"/>
              </w:rPr>
              <w:t>[45 C.F.R. §</w:t>
            </w:r>
            <w:r w:rsidR="00ED5A2D" w:rsidRPr="002B3DDD">
              <w:rPr>
                <w:rFonts w:eastAsia="Calibri" w:cs="Arial"/>
                <w:i/>
                <w:color w:val="767474"/>
                <w:szCs w:val="22"/>
              </w:rPr>
              <w:t xml:space="preserve"> </w:t>
            </w:r>
            <w:r w:rsidRPr="002B3DDD">
              <w:rPr>
                <w:rFonts w:eastAsia="Calibri" w:cs="Arial"/>
                <w:i/>
                <w:color w:val="767474"/>
                <w:szCs w:val="22"/>
              </w:rPr>
              <w:t>164.520(a)(2)(i)(A)]</w:t>
            </w:r>
          </w:p>
          <w:p w14:paraId="356652DD" w14:textId="77777777" w:rsidR="00656B2D" w:rsidRPr="00B77B78" w:rsidRDefault="00656B2D" w:rsidP="00B77B78">
            <w:pPr>
              <w:spacing w:before="60" w:after="60" w:line="276" w:lineRule="auto"/>
              <w:ind w:left="720"/>
              <w:rPr>
                <w:rFonts w:eastAsia="Calibri" w:cs="Arial"/>
                <w:i/>
                <w:szCs w:val="22"/>
              </w:rPr>
            </w:pPr>
            <w:r w:rsidRPr="00B77B78">
              <w:rPr>
                <w:rFonts w:eastAsia="Calibri" w:cs="Arial"/>
                <w:szCs w:val="22"/>
              </w:rPr>
              <w:t xml:space="preserve">From the health insurance issuer or HMO with respect to the group health plan through which the individuals receive her/his health benefits under the group health plan. </w:t>
            </w:r>
            <w:r w:rsidRPr="00B77B78">
              <w:rPr>
                <w:rFonts w:eastAsia="Calibri" w:cs="Arial"/>
                <w:szCs w:val="22"/>
              </w:rPr>
              <w:br/>
            </w:r>
            <w:r w:rsidRPr="002B3DDD">
              <w:rPr>
                <w:rFonts w:eastAsia="Calibri" w:cs="Arial"/>
                <w:i/>
                <w:color w:val="767474"/>
                <w:szCs w:val="22"/>
              </w:rPr>
              <w:t>[45 C.F.R. §</w:t>
            </w:r>
            <w:r w:rsidR="00ED5A2D" w:rsidRPr="002B3DDD">
              <w:rPr>
                <w:rFonts w:eastAsia="Calibri" w:cs="Arial"/>
                <w:i/>
                <w:color w:val="767474"/>
                <w:szCs w:val="22"/>
              </w:rPr>
              <w:t xml:space="preserve"> </w:t>
            </w:r>
            <w:r w:rsidRPr="002B3DDD">
              <w:rPr>
                <w:rFonts w:eastAsia="Calibri" w:cs="Arial"/>
                <w:i/>
                <w:color w:val="767474"/>
                <w:szCs w:val="22"/>
              </w:rPr>
              <w:t>164.520(a)(2)(i)(B)]</w:t>
            </w:r>
          </w:p>
          <w:p w14:paraId="3185B28A" w14:textId="77777777" w:rsidR="00656B2D" w:rsidRPr="00B77B78" w:rsidRDefault="00656B2D" w:rsidP="00B77B78">
            <w:pPr>
              <w:pStyle w:val="ListParagraph"/>
              <w:spacing w:before="60" w:after="60" w:line="276" w:lineRule="auto"/>
              <w:rPr>
                <w:rFonts w:eastAsia="Calibri" w:cs="Arial"/>
                <w:szCs w:val="22"/>
              </w:rPr>
            </w:pPr>
            <w:r w:rsidRPr="00B77B78">
              <w:rPr>
                <w:rFonts w:eastAsia="Calibri" w:cs="Arial"/>
                <w:szCs w:val="22"/>
              </w:rPr>
              <w:t>A group health plan is required to maintain a notice or provide the notice to any person upon request when health benefits are provided solely through an insurance contract with a health insurance issuer or HMO, and</w:t>
            </w:r>
          </w:p>
          <w:p w14:paraId="711F3232" w14:textId="77777777" w:rsidR="00656B2D" w:rsidRPr="00B77B78" w:rsidRDefault="00656B2D" w:rsidP="00B77B78">
            <w:pPr>
              <w:pStyle w:val="ListParagraph"/>
              <w:numPr>
                <w:ilvl w:val="0"/>
                <w:numId w:val="43"/>
              </w:numPr>
              <w:spacing w:before="60" w:after="60" w:line="276" w:lineRule="auto"/>
              <w:rPr>
                <w:rFonts w:eastAsia="Calibri" w:cs="Arial"/>
                <w:szCs w:val="22"/>
              </w:rPr>
            </w:pPr>
            <w:r w:rsidRPr="00B77B78">
              <w:rPr>
                <w:rFonts w:eastAsia="Calibri" w:cs="Arial"/>
                <w:szCs w:val="22"/>
              </w:rPr>
              <w:t xml:space="preserve">Create or receive Protected Health Information (PHI) in addition to summary health information, </w:t>
            </w:r>
          </w:p>
          <w:p w14:paraId="54D58EBD" w14:textId="77777777" w:rsidR="00656B2D" w:rsidRPr="00B77B78" w:rsidRDefault="00656B2D" w:rsidP="00B77B78">
            <w:pPr>
              <w:pStyle w:val="ListParagraph"/>
              <w:numPr>
                <w:ilvl w:val="0"/>
                <w:numId w:val="43"/>
              </w:numPr>
              <w:spacing w:before="60" w:after="60" w:line="276" w:lineRule="auto"/>
              <w:rPr>
                <w:rFonts w:eastAsia="Calibri" w:cs="Arial"/>
                <w:szCs w:val="22"/>
              </w:rPr>
            </w:pPr>
            <w:r w:rsidRPr="00B77B78">
              <w:rPr>
                <w:rFonts w:eastAsia="Calibri" w:cs="Arial"/>
                <w:szCs w:val="22"/>
              </w:rPr>
              <w:t xml:space="preserve">Create or receive information on whether the individual is participating in the group health plan, </w:t>
            </w:r>
          </w:p>
          <w:p w14:paraId="1FD1DC20" w14:textId="77777777" w:rsidR="00656B2D" w:rsidRPr="00B77B78" w:rsidRDefault="00656B2D" w:rsidP="00B77B78">
            <w:pPr>
              <w:pStyle w:val="ListParagraph"/>
              <w:numPr>
                <w:ilvl w:val="0"/>
                <w:numId w:val="43"/>
              </w:numPr>
              <w:spacing w:before="60" w:after="60" w:line="276" w:lineRule="auto"/>
              <w:rPr>
                <w:rFonts w:eastAsia="Calibri" w:cs="Arial"/>
                <w:szCs w:val="22"/>
              </w:rPr>
            </w:pPr>
            <w:r w:rsidRPr="00B77B78">
              <w:rPr>
                <w:rFonts w:eastAsia="Calibri" w:cs="Arial"/>
                <w:szCs w:val="22"/>
              </w:rPr>
              <w:t xml:space="preserve">Create or receive information on whether the individual is enrolled in, or </w:t>
            </w:r>
          </w:p>
          <w:p w14:paraId="50F68DF1" w14:textId="77777777" w:rsidR="00656B2D" w:rsidRPr="002B3DDD" w:rsidRDefault="00656B2D" w:rsidP="00B77B78">
            <w:pPr>
              <w:pStyle w:val="ListParagraph"/>
              <w:numPr>
                <w:ilvl w:val="0"/>
                <w:numId w:val="43"/>
              </w:numPr>
              <w:spacing w:before="60" w:after="60" w:line="276" w:lineRule="auto"/>
              <w:rPr>
                <w:rFonts w:eastAsia="Calibri" w:cs="Arial"/>
                <w:i/>
                <w:color w:val="767474"/>
                <w:szCs w:val="22"/>
              </w:rPr>
            </w:pPr>
            <w:r w:rsidRPr="00B77B78">
              <w:rPr>
                <w:rFonts w:eastAsia="Calibri" w:cs="Arial"/>
                <w:szCs w:val="22"/>
              </w:rPr>
              <w:t xml:space="preserve">Create or receive information on whether the individual has dis-enrolled from a health insurance issuer or HMO offered by the plan.  </w:t>
            </w:r>
            <w:r w:rsidRPr="002B3DDD">
              <w:rPr>
                <w:rFonts w:eastAsia="Calibri" w:cs="Arial"/>
                <w:i/>
                <w:color w:val="767474"/>
                <w:szCs w:val="22"/>
              </w:rPr>
              <w:t>[45 C.F.R. §</w:t>
            </w:r>
            <w:r w:rsidR="00ED5A2D" w:rsidRPr="002B3DDD">
              <w:rPr>
                <w:rFonts w:eastAsia="Calibri" w:cs="Arial"/>
                <w:i/>
                <w:color w:val="767474"/>
                <w:szCs w:val="22"/>
              </w:rPr>
              <w:t xml:space="preserve"> </w:t>
            </w:r>
            <w:r w:rsidRPr="002B3DDD">
              <w:rPr>
                <w:rFonts w:eastAsia="Calibri" w:cs="Arial"/>
                <w:i/>
                <w:color w:val="767474"/>
                <w:szCs w:val="22"/>
              </w:rPr>
              <w:t>164.520(a)(2)(ii)]</w:t>
            </w:r>
          </w:p>
          <w:p w14:paraId="1DB039FC" w14:textId="77777777" w:rsidR="00656B2D" w:rsidRPr="00B77B78" w:rsidRDefault="00656B2D" w:rsidP="00B77B78">
            <w:pPr>
              <w:spacing w:before="60" w:after="60" w:line="276" w:lineRule="auto"/>
              <w:rPr>
                <w:rStyle w:val="Heading2Char"/>
                <w:rFonts w:ascii="Arial" w:hAnsi="Arial" w:cs="Arial"/>
                <w:b w:val="0"/>
                <w:bCs w:val="0"/>
                <w:i w:val="0"/>
                <w:sz w:val="22"/>
                <w:szCs w:val="22"/>
              </w:rPr>
            </w:pPr>
            <w:r w:rsidRPr="00B77B78">
              <w:rPr>
                <w:rStyle w:val="Heading2Char"/>
                <w:rFonts w:ascii="Arial" w:hAnsi="Arial" w:cs="Arial"/>
                <w:i w:val="0"/>
                <w:sz w:val="22"/>
                <w:szCs w:val="22"/>
              </w:rPr>
              <w:t xml:space="preserve">If a health plan intends to use or disclose PHI for underwriting purposes, a statement that the covered entity is prohibited from using or disclosing PHI that is genetic information of an individual for such purposes. </w:t>
            </w:r>
            <w:r w:rsidRPr="00B77B78">
              <w:rPr>
                <w:rStyle w:val="Heading2Char"/>
                <w:rFonts w:ascii="Arial" w:hAnsi="Arial" w:cs="Arial"/>
                <w:i w:val="0"/>
                <w:sz w:val="22"/>
                <w:szCs w:val="22"/>
              </w:rPr>
              <w:br/>
            </w:r>
            <w:r w:rsidRPr="002B3DDD">
              <w:rPr>
                <w:rStyle w:val="Heading2Char"/>
                <w:rFonts w:ascii="Arial" w:hAnsi="Arial" w:cs="Arial"/>
                <w:color w:val="767474"/>
                <w:sz w:val="22"/>
                <w:szCs w:val="22"/>
              </w:rPr>
              <w:t>[45 C.F.R. §</w:t>
            </w:r>
            <w:r w:rsidR="00ED5A2D" w:rsidRPr="002B3DDD">
              <w:rPr>
                <w:rStyle w:val="Heading2Char"/>
                <w:rFonts w:ascii="Arial" w:hAnsi="Arial" w:cs="Arial"/>
                <w:color w:val="767474"/>
                <w:sz w:val="22"/>
                <w:szCs w:val="22"/>
              </w:rPr>
              <w:t xml:space="preserve"> </w:t>
            </w:r>
            <w:r w:rsidRPr="002B3DDD">
              <w:rPr>
                <w:rStyle w:val="Heading2Char"/>
                <w:rFonts w:ascii="Arial" w:hAnsi="Arial" w:cs="Arial"/>
                <w:color w:val="767474"/>
                <w:sz w:val="22"/>
                <w:szCs w:val="22"/>
              </w:rPr>
              <w:t>164.520(b)(1)(iii)(c)]</w:t>
            </w:r>
          </w:p>
        </w:tc>
      </w:tr>
      <w:tr w:rsidR="00656B2D" w:rsidRPr="00B77B78" w14:paraId="17AD15C9" w14:textId="77777777" w:rsidTr="00B77B78">
        <w:trPr>
          <w:cantSplit/>
        </w:trPr>
        <w:tc>
          <w:tcPr>
            <w:tcW w:w="2178" w:type="dxa"/>
            <w:shd w:val="clear" w:color="auto" w:fill="auto"/>
            <w:vAlign w:val="center"/>
          </w:tcPr>
          <w:p w14:paraId="6AB55164" w14:textId="77777777" w:rsidR="00656B2D" w:rsidRPr="00B77B78" w:rsidRDefault="00656B2D" w:rsidP="00B77B78">
            <w:pPr>
              <w:jc w:val="right"/>
              <w:rPr>
                <w:rStyle w:val="Heading2Char"/>
                <w:rFonts w:ascii="Arial" w:eastAsia="Calibri" w:hAnsi="Arial" w:cs="Arial"/>
                <w:b w:val="0"/>
                <w:bCs w:val="0"/>
                <w:i w:val="0"/>
                <w:sz w:val="22"/>
                <w:szCs w:val="22"/>
              </w:rPr>
            </w:pPr>
            <w:r w:rsidRPr="00B77B78">
              <w:rPr>
                <w:rStyle w:val="Heading2Char"/>
                <w:rFonts w:ascii="Arial" w:eastAsia="Calibri" w:hAnsi="Arial" w:cs="Arial"/>
                <w:b w:val="0"/>
                <w:bCs w:val="0"/>
                <w:i w:val="0"/>
                <w:sz w:val="22"/>
                <w:szCs w:val="22"/>
              </w:rPr>
              <w:lastRenderedPageBreak/>
              <w:t>Method of Distribution</w:t>
            </w:r>
          </w:p>
        </w:tc>
        <w:tc>
          <w:tcPr>
            <w:tcW w:w="2880" w:type="dxa"/>
            <w:shd w:val="clear" w:color="auto" w:fill="auto"/>
            <w:vAlign w:val="center"/>
          </w:tcPr>
          <w:p w14:paraId="49006782" w14:textId="77777777" w:rsidR="00656B2D" w:rsidRPr="00B77B78" w:rsidRDefault="00656B2D" w:rsidP="00B77B78">
            <w:pPr>
              <w:rPr>
                <w:rFonts w:eastAsia="Calibri" w:cs="Arial"/>
                <w:i/>
                <w:szCs w:val="22"/>
              </w:rPr>
            </w:pPr>
            <w:r w:rsidRPr="00B77B78">
              <w:rPr>
                <w:rFonts w:eastAsia="Calibri" w:cs="Arial"/>
                <w:i/>
                <w:szCs w:val="22"/>
              </w:rPr>
              <w:t>What method of distribution will your organization use?</w:t>
            </w:r>
          </w:p>
          <w:p w14:paraId="2F8FBB92" w14:textId="77777777" w:rsidR="00656B2D" w:rsidRPr="00B77B78" w:rsidRDefault="00656B2D" w:rsidP="00B77B78">
            <w:pPr>
              <w:rPr>
                <w:rFonts w:eastAsia="Calibri" w:cs="Arial"/>
                <w:i/>
                <w:szCs w:val="22"/>
              </w:rPr>
            </w:pPr>
          </w:p>
        </w:tc>
        <w:tc>
          <w:tcPr>
            <w:tcW w:w="9450" w:type="dxa"/>
            <w:shd w:val="clear" w:color="auto" w:fill="auto"/>
            <w:vAlign w:val="center"/>
          </w:tcPr>
          <w:p w14:paraId="381BA59C" w14:textId="77777777" w:rsidR="00656B2D" w:rsidRPr="00B77B78" w:rsidRDefault="00656B2D" w:rsidP="00B77B78">
            <w:pPr>
              <w:spacing w:before="60" w:after="60" w:line="276" w:lineRule="auto"/>
              <w:rPr>
                <w:rFonts w:eastAsia="Calibri" w:cs="Arial"/>
                <w:szCs w:val="22"/>
              </w:rPr>
            </w:pPr>
            <w:r w:rsidRPr="00B77B78">
              <w:rPr>
                <w:rFonts w:eastAsia="Calibri" w:cs="Arial"/>
                <w:szCs w:val="22"/>
              </w:rPr>
              <w:t xml:space="preserve">If a covered entity maintains a website, then the </w:t>
            </w:r>
            <w:r w:rsidR="005458BD">
              <w:rPr>
                <w:rFonts w:eastAsia="Calibri" w:cs="Arial"/>
                <w:szCs w:val="22"/>
              </w:rPr>
              <w:t>NPP</w:t>
            </w:r>
            <w:r w:rsidRPr="00B77B78">
              <w:rPr>
                <w:rFonts w:eastAsia="Calibri" w:cs="Arial"/>
                <w:szCs w:val="22"/>
              </w:rPr>
              <w:t xml:space="preserve"> must be posted on that website and the Covered Entity (CE) must make the </w:t>
            </w:r>
            <w:r w:rsidR="005458BD">
              <w:rPr>
                <w:rFonts w:eastAsia="Calibri" w:cs="Arial"/>
                <w:szCs w:val="22"/>
              </w:rPr>
              <w:t>NPP</w:t>
            </w:r>
            <w:r w:rsidRPr="00B77B78">
              <w:rPr>
                <w:rFonts w:eastAsia="Calibri" w:cs="Arial"/>
                <w:szCs w:val="22"/>
              </w:rPr>
              <w:t xml:space="preserve"> available electronically through the website. The </w:t>
            </w:r>
            <w:r w:rsidR="005458BD">
              <w:rPr>
                <w:rFonts w:eastAsia="Calibri" w:cs="Arial"/>
                <w:szCs w:val="22"/>
              </w:rPr>
              <w:t>NPP</w:t>
            </w:r>
            <w:r w:rsidRPr="00B77B78">
              <w:rPr>
                <w:rFonts w:eastAsia="Calibri" w:cs="Arial"/>
                <w:szCs w:val="22"/>
              </w:rPr>
              <w:t xml:space="preserve"> may be provided by email as long as the recipient has agreed to receive an electronic notice. The notice may be included with a summary plan description or with open enrollment materials as long as either is distributed timely and properly. The notice may also be distributed by first-class, second-class, or third-class mail.</w:t>
            </w:r>
          </w:p>
        </w:tc>
      </w:tr>
      <w:tr w:rsidR="00656B2D" w:rsidRPr="00B77B78" w14:paraId="40A40B3F" w14:textId="77777777" w:rsidTr="00B77B78">
        <w:trPr>
          <w:cantSplit/>
        </w:trPr>
        <w:tc>
          <w:tcPr>
            <w:tcW w:w="2178" w:type="dxa"/>
            <w:shd w:val="clear" w:color="auto" w:fill="auto"/>
            <w:vAlign w:val="center"/>
          </w:tcPr>
          <w:p w14:paraId="662977C4" w14:textId="77777777" w:rsidR="00656B2D" w:rsidRPr="00B77B78" w:rsidRDefault="00656B2D" w:rsidP="00B77B78">
            <w:pPr>
              <w:jc w:val="right"/>
              <w:rPr>
                <w:rStyle w:val="Heading2Char"/>
                <w:rFonts w:ascii="Arial" w:eastAsia="Calibri" w:hAnsi="Arial" w:cs="Arial"/>
                <w:b w:val="0"/>
                <w:bCs w:val="0"/>
                <w:i w:val="0"/>
                <w:sz w:val="22"/>
                <w:szCs w:val="22"/>
              </w:rPr>
            </w:pPr>
            <w:r w:rsidRPr="00B77B78">
              <w:rPr>
                <w:rStyle w:val="Heading2Char"/>
                <w:rFonts w:ascii="Arial" w:eastAsia="Calibri" w:hAnsi="Arial" w:cs="Arial"/>
                <w:b w:val="0"/>
                <w:bCs w:val="0"/>
                <w:i w:val="0"/>
                <w:sz w:val="22"/>
                <w:szCs w:val="22"/>
              </w:rPr>
              <w:t>Notice Exceptions</w:t>
            </w:r>
          </w:p>
          <w:p w14:paraId="5FE4796F" w14:textId="77777777" w:rsidR="00656B2D" w:rsidRPr="00B77B78" w:rsidRDefault="00656B2D" w:rsidP="00B77B78">
            <w:pPr>
              <w:jc w:val="right"/>
              <w:rPr>
                <w:rStyle w:val="Heading2Char"/>
                <w:rFonts w:ascii="Arial" w:eastAsia="Calibri" w:hAnsi="Arial" w:cs="Arial"/>
                <w:b w:val="0"/>
                <w:bCs w:val="0"/>
                <w:i w:val="0"/>
                <w:sz w:val="22"/>
                <w:szCs w:val="22"/>
              </w:rPr>
            </w:pPr>
          </w:p>
        </w:tc>
        <w:tc>
          <w:tcPr>
            <w:tcW w:w="2880" w:type="dxa"/>
            <w:shd w:val="clear" w:color="auto" w:fill="auto"/>
            <w:vAlign w:val="center"/>
          </w:tcPr>
          <w:p w14:paraId="5B13925B" w14:textId="77777777" w:rsidR="00656B2D" w:rsidRPr="00B77B78" w:rsidRDefault="00656B2D" w:rsidP="00B77B78">
            <w:pPr>
              <w:rPr>
                <w:rStyle w:val="Heading2Char"/>
                <w:rFonts w:ascii="Arial" w:eastAsia="Calibri" w:hAnsi="Arial" w:cs="Arial"/>
                <w:b w:val="0"/>
                <w:i w:val="0"/>
                <w:sz w:val="22"/>
                <w:szCs w:val="22"/>
              </w:rPr>
            </w:pPr>
            <w:bookmarkStart w:id="8" w:name="_Toc378604224"/>
            <w:r w:rsidRPr="00B77B78">
              <w:rPr>
                <w:rFonts w:eastAsia="Calibri" w:cs="Arial"/>
                <w:i/>
                <w:szCs w:val="22"/>
              </w:rPr>
              <w:t>Do inmates have the right to a notice?</w:t>
            </w:r>
            <w:bookmarkEnd w:id="8"/>
          </w:p>
        </w:tc>
        <w:tc>
          <w:tcPr>
            <w:tcW w:w="9450" w:type="dxa"/>
            <w:shd w:val="clear" w:color="auto" w:fill="auto"/>
            <w:vAlign w:val="center"/>
          </w:tcPr>
          <w:p w14:paraId="18E290A4" w14:textId="77777777" w:rsidR="00656B2D" w:rsidRPr="002B3DDD" w:rsidRDefault="00656B2D" w:rsidP="00B77B78">
            <w:pPr>
              <w:spacing w:before="60" w:after="60" w:line="276" w:lineRule="auto"/>
              <w:rPr>
                <w:rFonts w:eastAsia="Calibri" w:cs="Arial"/>
                <w:i/>
                <w:iCs/>
                <w:color w:val="767474"/>
                <w:szCs w:val="22"/>
              </w:rPr>
            </w:pPr>
            <w:r w:rsidRPr="00B77B78">
              <w:rPr>
                <w:rFonts w:eastAsia="Calibri" w:cs="Arial"/>
                <w:szCs w:val="22"/>
              </w:rPr>
              <w:t xml:space="preserve">An inmate does not have a right to receive a Notice of Privacy Practices.  However, a provider may give an inmate a copy of the </w:t>
            </w:r>
            <w:r w:rsidR="005458BD">
              <w:rPr>
                <w:rFonts w:eastAsia="Calibri" w:cs="Arial"/>
                <w:szCs w:val="22"/>
              </w:rPr>
              <w:t>NPP</w:t>
            </w:r>
            <w:r w:rsidRPr="00B77B78">
              <w:rPr>
                <w:rFonts w:eastAsia="Calibri" w:cs="Arial"/>
                <w:szCs w:val="22"/>
              </w:rPr>
              <w:t xml:space="preserve"> if they wish to do so.  </w:t>
            </w:r>
            <w:r w:rsidRPr="002B3DDD">
              <w:rPr>
                <w:rFonts w:eastAsia="Calibri" w:cs="Arial"/>
                <w:i/>
                <w:iCs/>
                <w:color w:val="767474"/>
                <w:szCs w:val="22"/>
              </w:rPr>
              <w:t>[45 C.F.R. §</w:t>
            </w:r>
            <w:r w:rsidR="00ED5A2D" w:rsidRPr="002B3DDD">
              <w:rPr>
                <w:rFonts w:eastAsia="Calibri" w:cs="Arial"/>
                <w:i/>
                <w:iCs/>
                <w:color w:val="767474"/>
                <w:szCs w:val="22"/>
              </w:rPr>
              <w:t xml:space="preserve"> </w:t>
            </w:r>
            <w:r w:rsidRPr="002B3DDD">
              <w:rPr>
                <w:rFonts w:eastAsia="Calibri" w:cs="Arial"/>
                <w:i/>
                <w:iCs/>
                <w:color w:val="767474"/>
                <w:szCs w:val="22"/>
              </w:rPr>
              <w:t>164.520(a)(3)]</w:t>
            </w:r>
          </w:p>
          <w:p w14:paraId="46D3A66A" w14:textId="77777777" w:rsidR="00656B2D" w:rsidRPr="00B77B78" w:rsidRDefault="00656B2D" w:rsidP="00B77B78">
            <w:pPr>
              <w:spacing w:before="60" w:after="60" w:line="276" w:lineRule="auto"/>
              <w:rPr>
                <w:rStyle w:val="Heading2Char"/>
                <w:rFonts w:ascii="Arial" w:eastAsia="Calibri" w:hAnsi="Arial" w:cs="Arial"/>
                <w:b w:val="0"/>
                <w:sz w:val="22"/>
                <w:szCs w:val="22"/>
              </w:rPr>
            </w:pPr>
            <w:r w:rsidRPr="00B77B78">
              <w:rPr>
                <w:rFonts w:eastAsia="Calibri" w:cs="Arial"/>
                <w:szCs w:val="22"/>
              </w:rPr>
              <w:t xml:space="preserve">Each entity will need to determine if there are covered functions for which a notice is not required.  </w:t>
            </w:r>
          </w:p>
        </w:tc>
      </w:tr>
      <w:tr w:rsidR="00656B2D" w:rsidRPr="00B77B78" w14:paraId="059788A9" w14:textId="77777777" w:rsidTr="00B77B78">
        <w:trPr>
          <w:cantSplit/>
        </w:trPr>
        <w:tc>
          <w:tcPr>
            <w:tcW w:w="2178" w:type="dxa"/>
            <w:shd w:val="clear" w:color="auto" w:fill="auto"/>
            <w:vAlign w:val="center"/>
          </w:tcPr>
          <w:p w14:paraId="70504873" w14:textId="77777777" w:rsidR="00656B2D" w:rsidRPr="00B77B78" w:rsidRDefault="00656B2D" w:rsidP="00B77B78">
            <w:pPr>
              <w:jc w:val="right"/>
              <w:rPr>
                <w:rStyle w:val="Heading2Char"/>
                <w:rFonts w:ascii="Arial" w:eastAsia="Calibri" w:hAnsi="Arial" w:cs="Arial"/>
                <w:b w:val="0"/>
                <w:bCs w:val="0"/>
                <w:i w:val="0"/>
                <w:sz w:val="22"/>
                <w:szCs w:val="22"/>
              </w:rPr>
            </w:pPr>
            <w:r w:rsidRPr="00B77B78">
              <w:rPr>
                <w:rStyle w:val="Heading2Char"/>
                <w:rFonts w:ascii="Arial" w:eastAsia="Calibri" w:hAnsi="Arial" w:cs="Arial"/>
                <w:b w:val="0"/>
                <w:bCs w:val="0"/>
                <w:i w:val="0"/>
                <w:sz w:val="22"/>
                <w:szCs w:val="22"/>
              </w:rPr>
              <w:t>Notice Format</w:t>
            </w:r>
          </w:p>
        </w:tc>
        <w:tc>
          <w:tcPr>
            <w:tcW w:w="2880" w:type="dxa"/>
            <w:shd w:val="clear" w:color="auto" w:fill="auto"/>
            <w:vAlign w:val="center"/>
          </w:tcPr>
          <w:p w14:paraId="52F85871" w14:textId="77777777" w:rsidR="00656B2D" w:rsidRPr="00B77B78" w:rsidRDefault="00656B2D" w:rsidP="00B77B78">
            <w:pPr>
              <w:rPr>
                <w:rFonts w:eastAsia="Calibri" w:cs="Arial"/>
                <w:i/>
                <w:iCs/>
                <w:szCs w:val="22"/>
              </w:rPr>
            </w:pPr>
            <w:r w:rsidRPr="00B77B78">
              <w:rPr>
                <w:rFonts w:eastAsia="Calibri" w:cs="Arial"/>
                <w:i/>
                <w:iCs/>
                <w:szCs w:val="22"/>
              </w:rPr>
              <w:t>What format should we use?</w:t>
            </w:r>
          </w:p>
        </w:tc>
        <w:tc>
          <w:tcPr>
            <w:tcW w:w="9450" w:type="dxa"/>
            <w:shd w:val="clear" w:color="auto" w:fill="auto"/>
            <w:vAlign w:val="center"/>
          </w:tcPr>
          <w:p w14:paraId="1C65B9D9" w14:textId="77777777" w:rsidR="00656B2D" w:rsidRPr="00B77B78" w:rsidRDefault="005573C5" w:rsidP="00B77B78">
            <w:pPr>
              <w:spacing w:before="60" w:after="60" w:line="276" w:lineRule="auto"/>
              <w:rPr>
                <w:rFonts w:eastAsia="Calibri" w:cs="Arial"/>
                <w:szCs w:val="22"/>
              </w:rPr>
            </w:pPr>
            <w:r>
              <w:rPr>
                <w:rFonts w:eastAsia="Calibri" w:cs="Arial"/>
                <w:szCs w:val="22"/>
              </w:rPr>
              <w:t>CDII</w:t>
            </w:r>
            <w:r w:rsidR="00656B2D" w:rsidRPr="00B77B78">
              <w:rPr>
                <w:rFonts w:eastAsia="Calibri" w:cs="Arial"/>
                <w:szCs w:val="22"/>
              </w:rPr>
              <w:t xml:space="preserve"> offers templates for the full </w:t>
            </w:r>
            <w:r w:rsidR="005458BD">
              <w:rPr>
                <w:rFonts w:eastAsia="Calibri" w:cs="Arial"/>
                <w:szCs w:val="22"/>
              </w:rPr>
              <w:t>NPP</w:t>
            </w:r>
            <w:r w:rsidR="00656B2D" w:rsidRPr="00B77B78">
              <w:rPr>
                <w:rFonts w:eastAsia="Calibri" w:cs="Arial"/>
                <w:szCs w:val="22"/>
              </w:rPr>
              <w:t xml:space="preserve"> on our website.</w:t>
            </w:r>
          </w:p>
        </w:tc>
      </w:tr>
      <w:tr w:rsidR="00656B2D" w:rsidRPr="00B77B78" w14:paraId="046BCF65" w14:textId="77777777" w:rsidTr="00B77B78">
        <w:trPr>
          <w:cantSplit/>
        </w:trPr>
        <w:tc>
          <w:tcPr>
            <w:tcW w:w="2178" w:type="dxa"/>
            <w:shd w:val="clear" w:color="auto" w:fill="auto"/>
            <w:vAlign w:val="center"/>
          </w:tcPr>
          <w:p w14:paraId="2162722B" w14:textId="77777777" w:rsidR="00656B2D" w:rsidRPr="00B77B78" w:rsidRDefault="00656B2D" w:rsidP="00B77B78">
            <w:pPr>
              <w:jc w:val="right"/>
              <w:rPr>
                <w:rStyle w:val="Heading2Char"/>
                <w:rFonts w:ascii="Arial" w:eastAsia="Calibri" w:hAnsi="Arial" w:cs="Arial"/>
                <w:b w:val="0"/>
                <w:bCs w:val="0"/>
                <w:i w:val="0"/>
                <w:sz w:val="22"/>
                <w:szCs w:val="22"/>
              </w:rPr>
            </w:pPr>
            <w:bookmarkStart w:id="9" w:name="_Toc378604223"/>
            <w:r w:rsidRPr="00B77B78">
              <w:rPr>
                <w:rStyle w:val="Heading2Char"/>
                <w:rFonts w:ascii="Arial" w:eastAsia="Calibri" w:hAnsi="Arial" w:cs="Arial"/>
                <w:b w:val="0"/>
                <w:bCs w:val="0"/>
                <w:i w:val="0"/>
                <w:sz w:val="22"/>
                <w:szCs w:val="22"/>
              </w:rPr>
              <w:t>Plain Language</w:t>
            </w:r>
            <w:bookmarkEnd w:id="9"/>
          </w:p>
        </w:tc>
        <w:tc>
          <w:tcPr>
            <w:tcW w:w="2880" w:type="dxa"/>
            <w:shd w:val="clear" w:color="auto" w:fill="auto"/>
            <w:vAlign w:val="center"/>
          </w:tcPr>
          <w:p w14:paraId="58C2ACFE" w14:textId="77777777" w:rsidR="00656B2D" w:rsidRPr="00B77B78" w:rsidRDefault="00656B2D" w:rsidP="00B77B78">
            <w:pPr>
              <w:rPr>
                <w:rStyle w:val="Heading2Char"/>
                <w:rFonts w:ascii="Arial" w:hAnsi="Arial" w:cs="Arial"/>
                <w:b w:val="0"/>
                <w:bCs w:val="0"/>
                <w:i w:val="0"/>
                <w:sz w:val="22"/>
                <w:szCs w:val="22"/>
              </w:rPr>
            </w:pPr>
            <w:r w:rsidRPr="00B77B78">
              <w:rPr>
                <w:rFonts w:eastAsia="Calibri" w:cs="Arial"/>
                <w:i/>
                <w:szCs w:val="22"/>
              </w:rPr>
              <w:t>Are there current standards that you adhere to for vital documents that you distribute to plan members or patients?</w:t>
            </w:r>
          </w:p>
        </w:tc>
        <w:tc>
          <w:tcPr>
            <w:tcW w:w="9450" w:type="dxa"/>
            <w:shd w:val="clear" w:color="auto" w:fill="auto"/>
            <w:vAlign w:val="center"/>
          </w:tcPr>
          <w:p w14:paraId="3F737027" w14:textId="77777777" w:rsidR="00656B2D" w:rsidRPr="00B77B78" w:rsidRDefault="00656B2D" w:rsidP="00B77B78">
            <w:pPr>
              <w:spacing w:before="60" w:after="60" w:line="276" w:lineRule="auto"/>
              <w:rPr>
                <w:rFonts w:eastAsia="Calibri" w:cs="Arial"/>
                <w:szCs w:val="22"/>
              </w:rPr>
            </w:pPr>
            <w:r w:rsidRPr="00B77B78">
              <w:rPr>
                <w:rFonts w:eastAsia="Calibri" w:cs="Arial"/>
                <w:szCs w:val="22"/>
              </w:rPr>
              <w:t>State and federal laws require forms be made available to patients in languages other than English in certain circumstances.  Each entity will need to determine what laws apply and standardize language practices as part of policies and procedures.  The applicable laws include but are not limited to:</w:t>
            </w:r>
          </w:p>
          <w:p w14:paraId="4AA266E1" w14:textId="77777777" w:rsidR="00656B2D" w:rsidRPr="002B3DDD" w:rsidRDefault="00656B2D" w:rsidP="00B77B78">
            <w:pPr>
              <w:pStyle w:val="ListParagraph"/>
              <w:numPr>
                <w:ilvl w:val="0"/>
                <w:numId w:val="44"/>
              </w:numPr>
              <w:spacing w:before="60" w:after="60" w:line="276" w:lineRule="auto"/>
              <w:contextualSpacing/>
              <w:rPr>
                <w:rFonts w:eastAsia="Calibri" w:cs="Arial"/>
                <w:color w:val="767474"/>
                <w:szCs w:val="22"/>
              </w:rPr>
            </w:pPr>
            <w:r w:rsidRPr="00B77B78">
              <w:rPr>
                <w:rFonts w:eastAsia="Calibri" w:cs="Arial"/>
                <w:szCs w:val="22"/>
              </w:rPr>
              <w:t xml:space="preserve">Title VI of the Civil Rights Act of 1964, the covered entity must take reasonable steps to ensure meaningful access for Limited English Proficiency persons to services of the covered entity, which could include translating the Notice of Privacy Practice into frequently encountered languages. </w:t>
            </w:r>
            <w:r w:rsidRPr="00B77B78">
              <w:rPr>
                <w:rFonts w:eastAsia="Calibri" w:cs="Arial"/>
                <w:szCs w:val="22"/>
              </w:rPr>
              <w:br/>
            </w:r>
            <w:r w:rsidRPr="002B3DDD">
              <w:rPr>
                <w:rFonts w:eastAsia="Calibri" w:cs="Arial"/>
                <w:i/>
                <w:color w:val="767474"/>
                <w:szCs w:val="22"/>
              </w:rPr>
              <w:t>[78 Fed. Reg. §</w:t>
            </w:r>
            <w:r w:rsidR="00ED5A2D" w:rsidRPr="002B3DDD">
              <w:rPr>
                <w:rFonts w:eastAsia="Calibri" w:cs="Arial"/>
                <w:i/>
                <w:color w:val="767474"/>
                <w:szCs w:val="22"/>
              </w:rPr>
              <w:t xml:space="preserve"> </w:t>
            </w:r>
            <w:r w:rsidRPr="002B3DDD">
              <w:rPr>
                <w:rFonts w:eastAsia="Calibri" w:cs="Arial"/>
                <w:i/>
                <w:color w:val="767474"/>
                <w:szCs w:val="22"/>
              </w:rPr>
              <w:t>5566, §</w:t>
            </w:r>
            <w:r w:rsidR="00ED5A2D" w:rsidRPr="002B3DDD">
              <w:rPr>
                <w:rFonts w:eastAsia="Calibri" w:cs="Arial"/>
                <w:i/>
                <w:color w:val="767474"/>
                <w:szCs w:val="22"/>
              </w:rPr>
              <w:t xml:space="preserve"> </w:t>
            </w:r>
            <w:r w:rsidRPr="002B3DDD">
              <w:rPr>
                <w:rFonts w:eastAsia="Calibri" w:cs="Arial"/>
                <w:i/>
                <w:color w:val="767474"/>
                <w:szCs w:val="22"/>
              </w:rPr>
              <w:t>5625 (Jan. 25, 2013)]</w:t>
            </w:r>
          </w:p>
          <w:p w14:paraId="53518FFE" w14:textId="77777777" w:rsidR="00656B2D" w:rsidRPr="00B77B78" w:rsidRDefault="00656B2D" w:rsidP="00B77B78">
            <w:pPr>
              <w:pStyle w:val="ListParagraph"/>
              <w:numPr>
                <w:ilvl w:val="0"/>
                <w:numId w:val="44"/>
              </w:numPr>
              <w:spacing w:before="60" w:after="60" w:line="276" w:lineRule="auto"/>
              <w:contextualSpacing/>
              <w:rPr>
                <w:rFonts w:eastAsia="Calibri" w:cs="Arial"/>
                <w:szCs w:val="22"/>
              </w:rPr>
            </w:pPr>
            <w:r w:rsidRPr="00B77B78">
              <w:rPr>
                <w:rFonts w:eastAsia="Calibri" w:cs="Arial"/>
                <w:szCs w:val="22"/>
              </w:rPr>
              <w:t>Section 504 of the Rehabilitation Act of 1973</w:t>
            </w:r>
          </w:p>
          <w:p w14:paraId="7B0DDD55" w14:textId="77777777" w:rsidR="00656B2D" w:rsidRPr="00B77B78" w:rsidRDefault="00656B2D" w:rsidP="00B77B78">
            <w:pPr>
              <w:pStyle w:val="ListParagraph"/>
              <w:numPr>
                <w:ilvl w:val="0"/>
                <w:numId w:val="44"/>
              </w:numPr>
              <w:spacing w:before="60" w:after="60" w:line="276" w:lineRule="auto"/>
              <w:contextualSpacing/>
              <w:rPr>
                <w:rFonts w:eastAsia="Calibri" w:cs="Arial"/>
                <w:szCs w:val="22"/>
              </w:rPr>
            </w:pPr>
            <w:r w:rsidRPr="00B77B78">
              <w:rPr>
                <w:rFonts w:eastAsia="Calibri" w:cs="Arial"/>
                <w:szCs w:val="22"/>
              </w:rPr>
              <w:t>The Americans with Disabilities Act of 1990</w:t>
            </w:r>
          </w:p>
          <w:p w14:paraId="5DF112D1" w14:textId="77777777" w:rsidR="00656B2D" w:rsidRPr="00B77B78" w:rsidRDefault="00656B2D" w:rsidP="00B77B78">
            <w:pPr>
              <w:spacing w:before="60" w:after="60" w:line="276" w:lineRule="auto"/>
              <w:rPr>
                <w:rStyle w:val="Heading2Char"/>
                <w:rFonts w:ascii="Arial" w:hAnsi="Arial" w:cs="Arial"/>
                <w:b w:val="0"/>
                <w:bCs w:val="0"/>
                <w:sz w:val="22"/>
                <w:szCs w:val="22"/>
              </w:rPr>
            </w:pPr>
            <w:r w:rsidRPr="00B77B78">
              <w:rPr>
                <w:rFonts w:eastAsia="Calibri" w:cs="Arial"/>
                <w:szCs w:val="22"/>
              </w:rPr>
              <w:t xml:space="preserve">In </w:t>
            </w:r>
            <w:r w:rsidR="003B6583" w:rsidRPr="00B77B78">
              <w:rPr>
                <w:rFonts w:eastAsia="Calibri" w:cs="Arial"/>
                <w:szCs w:val="22"/>
              </w:rPr>
              <w:t>addition,</w:t>
            </w:r>
            <w:r w:rsidRPr="00B77B78">
              <w:rPr>
                <w:rFonts w:eastAsia="Calibri" w:cs="Arial"/>
                <w:szCs w:val="22"/>
              </w:rPr>
              <w:t xml:space="preserve"> the covered entity has an obligation to take steps that may be necessary to ensure effective communication with individuals with disabilities, which could include making the Notice available in alternative formats, such as Braille, large print, or audio. </w:t>
            </w:r>
            <w:r w:rsidRPr="00B77B78">
              <w:rPr>
                <w:rFonts w:eastAsia="Calibri" w:cs="Arial"/>
                <w:szCs w:val="22"/>
              </w:rPr>
              <w:br/>
            </w:r>
            <w:r w:rsidRPr="002B3DDD">
              <w:rPr>
                <w:rFonts w:eastAsia="Calibri" w:cs="Arial"/>
                <w:i/>
                <w:color w:val="767474"/>
                <w:szCs w:val="22"/>
              </w:rPr>
              <w:t>[78 Fed. Reg. §</w:t>
            </w:r>
            <w:r w:rsidR="00ED5A2D" w:rsidRPr="002B3DDD">
              <w:rPr>
                <w:rFonts w:eastAsia="Calibri" w:cs="Arial"/>
                <w:i/>
                <w:color w:val="767474"/>
                <w:szCs w:val="22"/>
              </w:rPr>
              <w:t xml:space="preserve"> </w:t>
            </w:r>
            <w:r w:rsidRPr="002B3DDD">
              <w:rPr>
                <w:rFonts w:eastAsia="Calibri" w:cs="Arial"/>
                <w:i/>
                <w:color w:val="767474"/>
                <w:szCs w:val="22"/>
              </w:rPr>
              <w:t>5566, §</w:t>
            </w:r>
            <w:r w:rsidR="00ED5A2D" w:rsidRPr="002B3DDD">
              <w:rPr>
                <w:rFonts w:eastAsia="Calibri" w:cs="Arial"/>
                <w:i/>
                <w:color w:val="767474"/>
                <w:szCs w:val="22"/>
              </w:rPr>
              <w:t xml:space="preserve"> </w:t>
            </w:r>
            <w:r w:rsidRPr="002B3DDD">
              <w:rPr>
                <w:rFonts w:eastAsia="Calibri" w:cs="Arial"/>
                <w:i/>
                <w:color w:val="767474"/>
                <w:szCs w:val="22"/>
              </w:rPr>
              <w:t>5625 (Jan. 25, 2013)]</w:t>
            </w:r>
          </w:p>
        </w:tc>
      </w:tr>
      <w:tr w:rsidR="00656B2D" w:rsidRPr="00B77B78" w14:paraId="67C547E8" w14:textId="77777777" w:rsidTr="00B77B78">
        <w:trPr>
          <w:cantSplit/>
        </w:trPr>
        <w:tc>
          <w:tcPr>
            <w:tcW w:w="2178" w:type="dxa"/>
            <w:shd w:val="clear" w:color="auto" w:fill="auto"/>
            <w:vAlign w:val="center"/>
          </w:tcPr>
          <w:p w14:paraId="370005A5" w14:textId="77777777" w:rsidR="00656B2D" w:rsidRPr="00B77B78" w:rsidRDefault="00656B2D" w:rsidP="00B77B78">
            <w:pPr>
              <w:jc w:val="right"/>
              <w:rPr>
                <w:rStyle w:val="Heading2Char"/>
                <w:rFonts w:ascii="Arial" w:eastAsia="Calibri" w:hAnsi="Arial" w:cs="Arial"/>
                <w:b w:val="0"/>
                <w:bCs w:val="0"/>
                <w:i w:val="0"/>
                <w:sz w:val="22"/>
                <w:szCs w:val="22"/>
              </w:rPr>
            </w:pPr>
            <w:r w:rsidRPr="00B77B78">
              <w:rPr>
                <w:rStyle w:val="Heading2Char"/>
                <w:rFonts w:ascii="Arial" w:eastAsia="Calibri" w:hAnsi="Arial" w:cs="Arial"/>
                <w:b w:val="0"/>
                <w:bCs w:val="0"/>
                <w:i w:val="0"/>
                <w:sz w:val="22"/>
                <w:szCs w:val="22"/>
              </w:rPr>
              <w:lastRenderedPageBreak/>
              <w:t>Reserving the Right to Revise</w:t>
            </w:r>
          </w:p>
        </w:tc>
        <w:tc>
          <w:tcPr>
            <w:tcW w:w="2880" w:type="dxa"/>
            <w:shd w:val="clear" w:color="auto" w:fill="auto"/>
            <w:vAlign w:val="center"/>
          </w:tcPr>
          <w:p w14:paraId="16E56E60" w14:textId="77777777" w:rsidR="00656B2D" w:rsidRPr="00B77B78" w:rsidRDefault="00656B2D" w:rsidP="00B77B78">
            <w:pPr>
              <w:rPr>
                <w:rFonts w:eastAsia="Calibri" w:cs="Arial"/>
                <w:i/>
                <w:szCs w:val="22"/>
              </w:rPr>
            </w:pPr>
            <w:r w:rsidRPr="00B77B78">
              <w:rPr>
                <w:rFonts w:eastAsia="Calibri" w:cs="Arial"/>
                <w:i/>
                <w:szCs w:val="22"/>
              </w:rPr>
              <w:t>Will you reserve the right to change your uses and disclosures of health information in your notice?</w:t>
            </w:r>
          </w:p>
        </w:tc>
        <w:tc>
          <w:tcPr>
            <w:tcW w:w="9450" w:type="dxa"/>
            <w:shd w:val="clear" w:color="auto" w:fill="auto"/>
            <w:vAlign w:val="center"/>
          </w:tcPr>
          <w:p w14:paraId="7AC80DC5" w14:textId="77777777" w:rsidR="00656B2D" w:rsidRPr="00B77B78" w:rsidRDefault="00656B2D" w:rsidP="00B77B78">
            <w:pPr>
              <w:spacing w:before="60" w:after="60" w:line="276" w:lineRule="auto"/>
              <w:rPr>
                <w:rFonts w:eastAsia="Calibri" w:cs="Arial"/>
                <w:szCs w:val="22"/>
              </w:rPr>
            </w:pPr>
            <w:r w:rsidRPr="00B77B78">
              <w:rPr>
                <w:rFonts w:eastAsia="Calibri" w:cs="Arial"/>
                <w:szCs w:val="22"/>
              </w:rPr>
              <w:t xml:space="preserve">It is recommended that covered entities include a statement that the covered entity has the right to change the way a patient’s health information is used and given out and that, if any changes to the way </w:t>
            </w:r>
            <w:proofErr w:type="gramStart"/>
            <w:r w:rsidRPr="00B77B78">
              <w:rPr>
                <w:rFonts w:eastAsia="Calibri" w:cs="Arial"/>
                <w:szCs w:val="22"/>
              </w:rPr>
              <w:t>an</w:t>
            </w:r>
            <w:proofErr w:type="gramEnd"/>
            <w:r w:rsidRPr="00B77B78">
              <w:rPr>
                <w:rFonts w:eastAsia="Calibri" w:cs="Arial"/>
                <w:szCs w:val="22"/>
              </w:rPr>
              <w:t xml:space="preserve"> patient’s health information is used and given out, the patient she/he will be given a new notice (via the distribution method selected by the covered entity) within 60 days of the change.</w:t>
            </w:r>
          </w:p>
        </w:tc>
      </w:tr>
      <w:tr w:rsidR="00656B2D" w:rsidRPr="00B77B78" w14:paraId="7F52777C" w14:textId="77777777" w:rsidTr="00B77B78">
        <w:trPr>
          <w:cantSplit/>
        </w:trPr>
        <w:tc>
          <w:tcPr>
            <w:tcW w:w="2178" w:type="dxa"/>
            <w:shd w:val="clear" w:color="auto" w:fill="auto"/>
            <w:vAlign w:val="center"/>
          </w:tcPr>
          <w:p w14:paraId="16648D8A" w14:textId="77777777" w:rsidR="00656B2D" w:rsidRPr="00B77B78" w:rsidRDefault="00656B2D" w:rsidP="00B77B78">
            <w:pPr>
              <w:jc w:val="right"/>
              <w:rPr>
                <w:rStyle w:val="Heading2Char"/>
                <w:rFonts w:ascii="Arial" w:eastAsia="Calibri" w:hAnsi="Arial" w:cs="Arial"/>
                <w:b w:val="0"/>
                <w:bCs w:val="0"/>
                <w:i w:val="0"/>
                <w:sz w:val="22"/>
                <w:szCs w:val="22"/>
              </w:rPr>
            </w:pPr>
            <w:bookmarkStart w:id="10" w:name="_Toc378604226"/>
            <w:r w:rsidRPr="00B77B78">
              <w:rPr>
                <w:rStyle w:val="Heading2Char"/>
                <w:rFonts w:ascii="Arial" w:eastAsia="Calibri" w:hAnsi="Arial" w:cs="Arial"/>
                <w:b w:val="0"/>
                <w:bCs w:val="0"/>
                <w:i w:val="0"/>
                <w:sz w:val="22"/>
                <w:szCs w:val="22"/>
              </w:rPr>
              <w:t>Revised Notice</w:t>
            </w:r>
            <w:bookmarkEnd w:id="10"/>
          </w:p>
        </w:tc>
        <w:tc>
          <w:tcPr>
            <w:tcW w:w="2880" w:type="dxa"/>
            <w:shd w:val="clear" w:color="auto" w:fill="auto"/>
            <w:vAlign w:val="center"/>
          </w:tcPr>
          <w:p w14:paraId="2A969D15" w14:textId="77777777" w:rsidR="00656B2D" w:rsidRPr="00B77B78" w:rsidRDefault="00656B2D" w:rsidP="00B77B78">
            <w:pPr>
              <w:rPr>
                <w:rStyle w:val="Heading2Char"/>
                <w:rFonts w:ascii="Arial" w:eastAsia="Calibri" w:hAnsi="Arial" w:cs="Arial"/>
                <w:b w:val="0"/>
                <w:i w:val="0"/>
                <w:sz w:val="22"/>
                <w:szCs w:val="22"/>
              </w:rPr>
            </w:pPr>
            <w:bookmarkStart w:id="11" w:name="_Toc378604227"/>
            <w:r w:rsidRPr="00B77B78">
              <w:rPr>
                <w:rFonts w:eastAsia="Calibri" w:cs="Arial"/>
                <w:bCs/>
                <w:i/>
                <w:iCs/>
                <w:szCs w:val="22"/>
              </w:rPr>
              <w:t>Is it necessary to send the revised notice to each patient who received a prior version?</w:t>
            </w:r>
            <w:bookmarkEnd w:id="11"/>
          </w:p>
        </w:tc>
        <w:tc>
          <w:tcPr>
            <w:tcW w:w="9450" w:type="dxa"/>
            <w:shd w:val="clear" w:color="auto" w:fill="auto"/>
          </w:tcPr>
          <w:p w14:paraId="6F150013" w14:textId="77777777" w:rsidR="00656B2D" w:rsidRPr="00B77B78" w:rsidRDefault="00656B2D" w:rsidP="00B77B78">
            <w:pPr>
              <w:spacing w:before="60" w:after="60" w:line="276" w:lineRule="auto"/>
              <w:rPr>
                <w:rFonts w:eastAsia="Calibri" w:cs="Arial"/>
                <w:szCs w:val="22"/>
              </w:rPr>
            </w:pPr>
            <w:bookmarkStart w:id="12" w:name="_Toc378604228"/>
            <w:r w:rsidRPr="00B77B78">
              <w:rPr>
                <w:rFonts w:eastAsia="Calibri" w:cs="Arial"/>
                <w:szCs w:val="22"/>
              </w:rPr>
              <w:t xml:space="preserve">A covered entity must promptly revise and distribute its notice whenever there is a material change to the uses or disclosures, the individual's rights, the covered entity's legal duties, or other privacy practices stated in the notice. Except when required by law, a material change to any term of the notice may not be implemented prior to the effective date of the notice in which such material change is reflected. </w:t>
            </w:r>
            <w:r w:rsidRPr="00B77B78">
              <w:rPr>
                <w:rFonts w:eastAsia="Calibri" w:cs="Arial"/>
                <w:szCs w:val="22"/>
              </w:rPr>
              <w:br/>
            </w:r>
            <w:r w:rsidRPr="002B3DDD">
              <w:rPr>
                <w:rFonts w:eastAsia="Calibri" w:cs="Arial"/>
                <w:i/>
                <w:color w:val="767474"/>
                <w:szCs w:val="22"/>
              </w:rPr>
              <w:t>[45 C.F.R. §</w:t>
            </w:r>
            <w:r w:rsidR="00ED5A2D" w:rsidRPr="002B3DDD">
              <w:rPr>
                <w:rFonts w:eastAsia="Calibri" w:cs="Arial"/>
                <w:i/>
                <w:color w:val="767474"/>
                <w:szCs w:val="22"/>
              </w:rPr>
              <w:t xml:space="preserve"> </w:t>
            </w:r>
            <w:r w:rsidRPr="002B3DDD">
              <w:rPr>
                <w:rFonts w:eastAsia="Calibri" w:cs="Arial"/>
                <w:i/>
                <w:color w:val="767474"/>
                <w:szCs w:val="22"/>
              </w:rPr>
              <w:t>164.520 (b)(3)]</w:t>
            </w:r>
            <w:r w:rsidRPr="002B3DDD">
              <w:rPr>
                <w:rFonts w:eastAsia="Calibri" w:cs="Arial"/>
                <w:color w:val="767474"/>
                <w:szCs w:val="22"/>
              </w:rPr>
              <w:t xml:space="preserve">  </w:t>
            </w:r>
            <w:r w:rsidRPr="00B77B78">
              <w:rPr>
                <w:rFonts w:eastAsia="Calibri" w:cs="Arial"/>
                <w:szCs w:val="22"/>
              </w:rPr>
              <w:br/>
            </w:r>
            <w:hyperlink r:id="rId12" w:anchor="45:1.0.1.3.78.5.27.10" w:history="1">
              <w:r w:rsidRPr="00B77B78">
                <w:rPr>
                  <w:rStyle w:val="Hyperlink"/>
                  <w:rFonts w:eastAsia="Calibri" w:cs="Arial"/>
                  <w:szCs w:val="22"/>
                </w:rPr>
                <w:t>http://www.ecfr.gov/cgi-bin/retrieveECFR?gp=&amp;SID=69c69101690b6b7b324bc70ff6d716c2&amp;r=PART&amp;n=45y1.0.1.3.78#45:1.0.1.3.78.5.27.10</w:t>
              </w:r>
            </w:hyperlink>
          </w:p>
          <w:p w14:paraId="13B0C3C1" w14:textId="77777777" w:rsidR="00656B2D" w:rsidRPr="00B77B78" w:rsidRDefault="00656B2D" w:rsidP="00B77B78">
            <w:pPr>
              <w:spacing w:before="60" w:after="60" w:line="276" w:lineRule="auto"/>
              <w:rPr>
                <w:rStyle w:val="Heading2Char"/>
                <w:rFonts w:ascii="Arial" w:hAnsi="Arial" w:cs="Arial"/>
                <w:b w:val="0"/>
                <w:bCs w:val="0"/>
                <w:sz w:val="22"/>
                <w:szCs w:val="22"/>
              </w:rPr>
            </w:pPr>
            <w:r w:rsidRPr="00B77B78">
              <w:rPr>
                <w:rFonts w:eastAsia="Calibri" w:cs="Arial"/>
                <w:szCs w:val="22"/>
              </w:rPr>
              <w:t xml:space="preserve">A health plan must provide the revised notice, or information about the material change and how to obtain the revised notice, in its next annual mailing to individuals then covered by the plan, such as at the beginning of the plan year or during open enrollment. If a health plan does not have a customer service website, then the health plan must provide the revised </w:t>
            </w:r>
            <w:r w:rsidR="005458BD">
              <w:rPr>
                <w:rFonts w:eastAsia="Calibri" w:cs="Arial"/>
                <w:szCs w:val="22"/>
              </w:rPr>
              <w:t>NPP</w:t>
            </w:r>
            <w:r w:rsidRPr="00B77B78">
              <w:rPr>
                <w:rFonts w:eastAsia="Calibri" w:cs="Arial"/>
                <w:szCs w:val="22"/>
              </w:rPr>
              <w:t xml:space="preserve"> or information about the material change and how to obtain the revised notice, to individuals then covered by the plan within 60 days of the material revision to the notice. </w:t>
            </w:r>
            <w:r w:rsidRPr="00B77B78">
              <w:rPr>
                <w:rFonts w:eastAsia="Calibri" w:cs="Arial"/>
                <w:szCs w:val="22"/>
              </w:rPr>
              <w:br/>
            </w:r>
            <w:r w:rsidRPr="002B3DDD">
              <w:rPr>
                <w:rFonts w:eastAsia="Calibri" w:cs="Arial"/>
                <w:i/>
                <w:color w:val="767474"/>
                <w:szCs w:val="22"/>
              </w:rPr>
              <w:t>[45 C.F.R. §</w:t>
            </w:r>
            <w:r w:rsidR="00ED5A2D" w:rsidRPr="002B3DDD">
              <w:rPr>
                <w:rFonts w:eastAsia="Calibri" w:cs="Arial"/>
                <w:i/>
                <w:color w:val="767474"/>
                <w:szCs w:val="22"/>
              </w:rPr>
              <w:t xml:space="preserve"> </w:t>
            </w:r>
            <w:r w:rsidRPr="002B3DDD">
              <w:rPr>
                <w:rFonts w:eastAsia="Calibri" w:cs="Arial"/>
                <w:i/>
                <w:color w:val="767474"/>
                <w:szCs w:val="22"/>
              </w:rPr>
              <w:t>164.520(c)(1)(v)</w:t>
            </w:r>
            <w:bookmarkEnd w:id="12"/>
            <w:r w:rsidRPr="002B3DDD">
              <w:rPr>
                <w:rFonts w:eastAsia="Calibri" w:cs="Arial"/>
                <w:i/>
                <w:color w:val="767474"/>
                <w:szCs w:val="22"/>
              </w:rPr>
              <w:t>]</w:t>
            </w:r>
          </w:p>
        </w:tc>
      </w:tr>
    </w:tbl>
    <w:p w14:paraId="19BECEFA" w14:textId="77777777" w:rsidR="00656B2D" w:rsidRPr="00656B2D" w:rsidRDefault="00656B2D" w:rsidP="00656B2D">
      <w:pPr>
        <w:rPr>
          <w:rFonts w:ascii="Calibri" w:hAnsi="Calibri"/>
          <w:sz w:val="20"/>
          <w:szCs w:val="20"/>
        </w:rPr>
      </w:pPr>
    </w:p>
    <w:p w14:paraId="48171B45" w14:textId="77777777" w:rsidR="00656B2D" w:rsidRDefault="00656B2D"/>
    <w:sectPr w:rsidR="00656B2D" w:rsidSect="00656B2D">
      <w:headerReference w:type="even" r:id="rId13"/>
      <w:headerReference w:type="default" r:id="rId14"/>
      <w:footerReference w:type="even" r:id="rId15"/>
      <w:footerReference w:type="default" r:id="rId16"/>
      <w:headerReference w:type="first" r:id="rId17"/>
      <w:footerReference w:type="first" r:id="rId18"/>
      <w:pgSz w:w="15840" w:h="12240" w:orient="landscape" w:code="1"/>
      <w:pgMar w:top="108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521AF" w14:textId="77777777" w:rsidR="00660A58" w:rsidRDefault="00660A58">
      <w:r>
        <w:separator/>
      </w:r>
    </w:p>
  </w:endnote>
  <w:endnote w:type="continuationSeparator" w:id="0">
    <w:p w14:paraId="3CF5D3F5" w14:textId="77777777" w:rsidR="00660A58" w:rsidRDefault="0066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D03C0" w14:textId="77777777" w:rsidR="0090529F" w:rsidRDefault="009052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03990" w14:textId="77777777" w:rsidR="008B7755" w:rsidRPr="00FD45BD" w:rsidRDefault="00FD45BD" w:rsidP="00FD45BD">
    <w:pPr>
      <w:pStyle w:val="Footer"/>
      <w:tabs>
        <w:tab w:val="clear" w:pos="4320"/>
        <w:tab w:val="clear" w:pos="8640"/>
        <w:tab w:val="left" w:pos="3690"/>
      </w:tabs>
      <w:spacing w:before="120"/>
      <w:rPr>
        <w:sz w:val="16"/>
      </w:rPr>
    </w:pPr>
    <w:r w:rsidRPr="003F0085">
      <w:rPr>
        <w:sz w:val="16"/>
      </w:rPr>
      <w:t>U</w:t>
    </w:r>
    <w:r w:rsidR="0043220A">
      <w:rPr>
        <w:sz w:val="16"/>
      </w:rPr>
      <w:t>pdated 06/2018</w:t>
    </w:r>
    <w:r>
      <w:rPr>
        <w:sz w:val="16"/>
      </w:rPr>
      <w:tab/>
    </w:r>
    <w:r>
      <w:rPr>
        <w:sz w:val="16"/>
      </w:rPr>
      <w:tab/>
    </w:r>
    <w:r>
      <w:rPr>
        <w:sz w:val="16"/>
      </w:rPr>
      <w:tab/>
    </w:r>
    <w:r>
      <w:rPr>
        <w:sz w:val="16"/>
      </w:rPr>
      <w:tab/>
    </w:r>
    <w:r>
      <w:rPr>
        <w:sz w:val="16"/>
      </w:rPr>
      <w:tab/>
    </w:r>
    <w:r>
      <w:rPr>
        <w:sz w:val="16"/>
      </w:rPr>
      <w:tab/>
    </w:r>
    <w:r w:rsidR="008B7755">
      <w:rPr>
        <w:sz w:val="16"/>
      </w:rPr>
      <w:t xml:space="preserve"> </w:t>
    </w:r>
    <w:r w:rsidR="008B7755">
      <w:rPr>
        <w:sz w:val="16"/>
      </w:rPr>
      <w:tab/>
    </w:r>
    <w:r>
      <w:rPr>
        <w:sz w:val="16"/>
      </w:rPr>
      <w:tab/>
      <w:t xml:space="preserve">          </w:t>
    </w:r>
    <w:r w:rsidR="0090529F">
      <w:rPr>
        <w:sz w:val="16"/>
      </w:rPr>
      <w:tab/>
    </w:r>
    <w:r w:rsidR="0090529F">
      <w:rPr>
        <w:sz w:val="16"/>
      </w:rPr>
      <w:tab/>
    </w:r>
    <w:r w:rsidR="0090529F">
      <w:rPr>
        <w:sz w:val="16"/>
      </w:rPr>
      <w:tab/>
    </w:r>
    <w:r w:rsidR="0090529F">
      <w:rPr>
        <w:sz w:val="16"/>
      </w:rPr>
      <w:tab/>
    </w:r>
    <w:r w:rsidR="0090529F">
      <w:rPr>
        <w:sz w:val="16"/>
      </w:rPr>
      <w:tab/>
    </w:r>
    <w:r w:rsidR="0090529F">
      <w:rPr>
        <w:sz w:val="16"/>
      </w:rPr>
      <w:tab/>
    </w:r>
    <w:r w:rsidR="008B7755" w:rsidRPr="00FD45BD">
      <w:rPr>
        <w:sz w:val="16"/>
      </w:rPr>
      <w:t xml:space="preserve">Page </w:t>
    </w:r>
    <w:r w:rsidR="008B7755" w:rsidRPr="00FD45BD">
      <w:rPr>
        <w:sz w:val="16"/>
      </w:rPr>
      <w:fldChar w:fldCharType="begin"/>
    </w:r>
    <w:r w:rsidR="008B7755" w:rsidRPr="00FD45BD">
      <w:rPr>
        <w:sz w:val="16"/>
      </w:rPr>
      <w:instrText xml:space="preserve"> PAGE </w:instrText>
    </w:r>
    <w:r w:rsidR="008B7755" w:rsidRPr="00FD45BD">
      <w:rPr>
        <w:sz w:val="16"/>
      </w:rPr>
      <w:fldChar w:fldCharType="separate"/>
    </w:r>
    <w:r w:rsidR="005573C5">
      <w:rPr>
        <w:noProof/>
        <w:sz w:val="16"/>
      </w:rPr>
      <w:t>1</w:t>
    </w:r>
    <w:r w:rsidR="008B7755" w:rsidRPr="00FD45BD">
      <w:rPr>
        <w:sz w:val="16"/>
      </w:rPr>
      <w:fldChar w:fldCharType="end"/>
    </w:r>
    <w:r w:rsidR="00C86174" w:rsidRPr="00FD45BD">
      <w:rPr>
        <w:sz w:val="16"/>
      </w:rPr>
      <w:t xml:space="preserve"> of </w:t>
    </w:r>
    <w:r w:rsidR="00656B2D">
      <w:rPr>
        <w:sz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0C9D0" w14:textId="77777777" w:rsidR="0090529F" w:rsidRDefault="00905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E06BA" w14:textId="77777777" w:rsidR="00660A58" w:rsidRDefault="00660A58">
      <w:r>
        <w:separator/>
      </w:r>
    </w:p>
  </w:footnote>
  <w:footnote w:type="continuationSeparator" w:id="0">
    <w:p w14:paraId="28D06615" w14:textId="77777777" w:rsidR="00660A58" w:rsidRDefault="00660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224EF" w14:textId="77777777" w:rsidR="0090529F" w:rsidRDefault="009052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B1C8D" w14:textId="1A8A8182" w:rsidR="008B7755" w:rsidRPr="005573C5" w:rsidRDefault="00656B2D" w:rsidP="005573C5">
    <w:pPr>
      <w:pStyle w:val="Header"/>
      <w:tabs>
        <w:tab w:val="clear" w:pos="4320"/>
        <w:tab w:val="clear" w:pos="8640"/>
        <w:tab w:val="center" w:pos="5940"/>
        <w:tab w:val="left" w:pos="10620"/>
        <w:tab w:val="left" w:pos="10710"/>
      </w:tabs>
      <w:jc w:val="right"/>
      <w:rPr>
        <w:b/>
      </w:rPr>
    </w:pPr>
    <w:r>
      <w:rPr>
        <w:b/>
      </w:rPr>
      <w:t>D</w:t>
    </w:r>
    <w:r w:rsidR="003E1F90" w:rsidRPr="003E1F90">
      <w:rPr>
        <w:b/>
      </w:rPr>
      <w:t xml:space="preserve"> – Notice of Privacy Practices</w:t>
    </w:r>
    <w:r>
      <w:rPr>
        <w:b/>
      </w:rPr>
      <w:t xml:space="preserve"> (</w:t>
    </w:r>
    <w:r w:rsidR="005458BD">
      <w:rPr>
        <w:b/>
      </w:rPr>
      <w:t>NPP</w:t>
    </w:r>
    <w:r>
      <w:rPr>
        <w:b/>
      </w:rPr>
      <w:t>)</w:t>
    </w:r>
    <w:r w:rsidR="00911F44">
      <w:rPr>
        <w:b/>
      </w:rPr>
      <w:t xml:space="preserve"> </w:t>
    </w:r>
    <w:r>
      <w:rPr>
        <w:b/>
      </w:rPr>
      <w:t>–</w:t>
    </w:r>
    <w:r w:rsidR="00911F44">
      <w:rPr>
        <w:b/>
      </w:rPr>
      <w:t xml:space="preserve"> </w:t>
    </w:r>
    <w:r>
      <w:rPr>
        <w:b/>
      </w:rPr>
      <w:t>Frequently Asked Questions (FAQ)</w:t>
    </w:r>
    <w:r w:rsidR="005573C5">
      <w:rPr>
        <w:b/>
      </w:rPr>
      <w:tab/>
    </w:r>
    <w:r w:rsidR="005573C5">
      <w:rPr>
        <w:b/>
      </w:rPr>
      <w:tab/>
    </w:r>
    <w:r w:rsidR="005573C5">
      <w:rPr>
        <w:b/>
      </w:rPr>
      <w:tab/>
    </w:r>
    <w:r w:rsidR="005573C5">
      <w:rPr>
        <w:b/>
      </w:rPr>
      <w:tab/>
    </w:r>
    <w:r w:rsidR="005573C5" w:rsidRPr="005573C5">
      <w:rPr>
        <w:rFonts w:ascii="Calibri" w:hAnsi="Calibri" w:cs="Calibri"/>
        <w:color w:val="000000"/>
        <w:shd w:val="clear" w:color="auto" w:fill="FFFFFF"/>
      </w:rPr>
      <w:t xml:space="preserve"> </w:t>
    </w:r>
    <w:r w:rsidR="005573C5">
      <w:rPr>
        <w:rFonts w:ascii="Calibri" w:hAnsi="Calibri" w:cs="Calibri"/>
        <w:color w:val="000000"/>
        <w:shd w:val="clear" w:color="auto" w:fill="FFFFFF"/>
      </w:rPr>
      <w:fldChar w:fldCharType="begin"/>
    </w:r>
    <w:r w:rsidR="005573C5">
      <w:rPr>
        <w:rFonts w:ascii="Calibri" w:hAnsi="Calibri" w:cs="Calibri"/>
        <w:color w:val="000000"/>
        <w:shd w:val="clear" w:color="auto" w:fill="FFFFFF"/>
      </w:rPr>
      <w:instrText xml:space="preserve"> INCLUDEPICTURE  "cid:5b7736e9-9df8-49a6-b09e-9141c6f3dbe0" \* MERGEFORMATINET </w:instrText>
    </w:r>
    <w:r w:rsidR="005573C5">
      <w:rPr>
        <w:rFonts w:ascii="Calibri" w:hAnsi="Calibri" w:cs="Calibri"/>
        <w:color w:val="000000"/>
        <w:shd w:val="clear" w:color="auto" w:fill="FFFFFF"/>
      </w:rPr>
      <w:fldChar w:fldCharType="separate"/>
    </w:r>
    <w:r w:rsidR="002B3DDD">
      <w:rPr>
        <w:rFonts w:ascii="Calibri" w:hAnsi="Calibri" w:cs="Calibri"/>
        <w:color w:val="000000"/>
        <w:shd w:val="clear" w:color="auto" w:fill="FFFFFF"/>
      </w:rPr>
      <w:fldChar w:fldCharType="begin"/>
    </w:r>
    <w:r w:rsidR="002B3DDD">
      <w:rPr>
        <w:rFonts w:ascii="Calibri" w:hAnsi="Calibri" w:cs="Calibri"/>
        <w:color w:val="000000"/>
        <w:shd w:val="clear" w:color="auto" w:fill="FFFFFF"/>
      </w:rPr>
      <w:instrText xml:space="preserve"> </w:instrText>
    </w:r>
    <w:r w:rsidR="002B3DDD">
      <w:rPr>
        <w:rFonts w:ascii="Calibri" w:hAnsi="Calibri" w:cs="Calibri"/>
        <w:color w:val="000000"/>
        <w:shd w:val="clear" w:color="auto" w:fill="FFFFFF"/>
      </w:rPr>
      <w:instrText>INCLUDEPICTURE  "cid:5b7736e9-9df8-49a6-b09e-9141c6f3dbe0" \* MERGEFORMATINET</w:instrText>
    </w:r>
    <w:r w:rsidR="002B3DDD">
      <w:rPr>
        <w:rFonts w:ascii="Calibri" w:hAnsi="Calibri" w:cs="Calibri"/>
        <w:color w:val="000000"/>
        <w:shd w:val="clear" w:color="auto" w:fill="FFFFFF"/>
      </w:rPr>
      <w:instrText xml:space="preserve"> </w:instrText>
    </w:r>
    <w:r w:rsidR="002B3DDD">
      <w:rPr>
        <w:rFonts w:ascii="Calibri" w:hAnsi="Calibri" w:cs="Calibri"/>
        <w:color w:val="000000"/>
        <w:shd w:val="clear" w:color="auto" w:fill="FFFFFF"/>
      </w:rPr>
      <w:fldChar w:fldCharType="separate"/>
    </w:r>
    <w:r w:rsidR="002B3DDD">
      <w:rPr>
        <w:rFonts w:ascii="Calibri" w:hAnsi="Calibri" w:cs="Calibri"/>
        <w:color w:val="000000"/>
        <w:shd w:val="clear" w:color="auto" w:fill="FFFFFF"/>
      </w:rPr>
      <w:pict w14:anchorId="5470C7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DII logo" style="width:108.45pt;height:43.95pt">
          <v:imagedata r:id="rId1" r:href="rId2"/>
        </v:shape>
      </w:pict>
    </w:r>
    <w:r w:rsidR="002B3DDD">
      <w:rPr>
        <w:rFonts w:ascii="Calibri" w:hAnsi="Calibri" w:cs="Calibri"/>
        <w:color w:val="000000"/>
        <w:shd w:val="clear" w:color="auto" w:fill="FFFFFF"/>
      </w:rPr>
      <w:fldChar w:fldCharType="end"/>
    </w:r>
    <w:r w:rsidR="005573C5">
      <w:rPr>
        <w:rFonts w:ascii="Calibri" w:hAnsi="Calibri" w:cs="Calibri"/>
        <w:color w:val="000000"/>
        <w:shd w:val="clear" w:color="auto" w:fill="FFFFFF"/>
      </w:rPr>
      <w:fldChar w:fldCharType="end"/>
    </w:r>
  </w:p>
  <w:p w14:paraId="2AC32FC1" w14:textId="77777777" w:rsidR="009038D7" w:rsidRDefault="009038D7">
    <w:pPr>
      <w:pStyle w:val="Header"/>
      <w:tabs>
        <w:tab w:val="clear" w:pos="8640"/>
      </w:tabs>
      <w:ind w:lef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5EAE0" w14:textId="77777777" w:rsidR="0090529F" w:rsidRDefault="009052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1pt;height:13.1pt;visibility:visible" o:bullet="t">
        <v:imagedata r:id="rId1" o:title=""/>
      </v:shape>
    </w:pict>
  </w:numPicBullet>
  <w:abstractNum w:abstractNumId="0" w15:restartNumberingAfterBreak="0">
    <w:nsid w:val="04031F74"/>
    <w:multiLevelType w:val="hybridMultilevel"/>
    <w:tmpl w:val="95BE443A"/>
    <w:lvl w:ilvl="0" w:tplc="72B613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E575CE"/>
    <w:multiLevelType w:val="hybridMultilevel"/>
    <w:tmpl w:val="5150D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E2F8E"/>
    <w:multiLevelType w:val="hybridMultilevel"/>
    <w:tmpl w:val="64FCB3E8"/>
    <w:lvl w:ilvl="0" w:tplc="FFFFFFFF">
      <w:start w:val="1"/>
      <w:numFmt w:val="decimal"/>
      <w:lvlText w:val="%1."/>
      <w:lvlJc w:val="left"/>
      <w:pPr>
        <w:tabs>
          <w:tab w:val="num" w:pos="360"/>
        </w:tabs>
        <w:ind w:left="360" w:hanging="360"/>
      </w:pPr>
      <w:rPr>
        <w:rFonts w:hint="default"/>
      </w:rPr>
    </w:lvl>
    <w:lvl w:ilvl="1" w:tplc="61544ECC">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4053488"/>
    <w:multiLevelType w:val="hybridMultilevel"/>
    <w:tmpl w:val="25E08C9A"/>
    <w:lvl w:ilvl="0" w:tplc="6D9C9822">
      <w:start w:val="1"/>
      <w:numFmt w:val="decimal"/>
      <w:lvlText w:val="%1."/>
      <w:lvlJc w:val="left"/>
      <w:pPr>
        <w:tabs>
          <w:tab w:val="num" w:pos="360"/>
        </w:tabs>
        <w:ind w:left="360" w:hanging="360"/>
      </w:pPr>
      <w:rPr>
        <w:rFonts w:hint="default"/>
      </w:rPr>
    </w:lvl>
    <w:lvl w:ilvl="1" w:tplc="AA4E18DE">
      <w:start w:val="1"/>
      <w:numFmt w:val="lowerRoman"/>
      <w:lvlText w:val="%2)"/>
      <w:lvlJc w:val="left"/>
      <w:pPr>
        <w:tabs>
          <w:tab w:val="num" w:pos="180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D96A2C"/>
    <w:multiLevelType w:val="hybridMultilevel"/>
    <w:tmpl w:val="C1A67008"/>
    <w:lvl w:ilvl="0" w:tplc="DE865D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038EA"/>
    <w:multiLevelType w:val="hybridMultilevel"/>
    <w:tmpl w:val="1E24AD2A"/>
    <w:lvl w:ilvl="0" w:tplc="8DBE57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5978A1"/>
    <w:multiLevelType w:val="hybridMultilevel"/>
    <w:tmpl w:val="F86CDB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2B43F4"/>
    <w:multiLevelType w:val="hybridMultilevel"/>
    <w:tmpl w:val="2D0802D0"/>
    <w:lvl w:ilvl="0" w:tplc="FFFFFFFF">
      <w:start w:val="1"/>
      <w:numFmt w:val="upperLetter"/>
      <w:lvlText w:val="%1."/>
      <w:lvlJc w:val="left"/>
      <w:pPr>
        <w:tabs>
          <w:tab w:val="num" w:pos="720"/>
        </w:tabs>
        <w:ind w:left="720" w:hanging="360"/>
      </w:pPr>
      <w:rPr>
        <w:rFonts w:hint="default"/>
      </w:rPr>
    </w:lvl>
    <w:lvl w:ilvl="1" w:tplc="1F8A58AC">
      <w:start w:val="1"/>
      <w:numFmt w:val="decimal"/>
      <w:lvlText w:val="%2)"/>
      <w:lvlJc w:val="left"/>
      <w:pPr>
        <w:tabs>
          <w:tab w:val="num" w:pos="720"/>
        </w:tabs>
        <w:ind w:left="720" w:hanging="360"/>
      </w:pPr>
      <w:rPr>
        <w:rFonts w:hint="default"/>
        <w:b w:val="0"/>
        <w:i w:val="0"/>
      </w:rPr>
    </w:lvl>
    <w:lvl w:ilvl="2" w:tplc="FFFFFFFF">
      <w:start w:val="2"/>
      <w:numFmt w:val="decimal"/>
      <w:lvlText w:val="%3."/>
      <w:lvlJc w:val="left"/>
      <w:pPr>
        <w:tabs>
          <w:tab w:val="num" w:pos="360"/>
        </w:tabs>
        <w:ind w:left="36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CD305BF"/>
    <w:multiLevelType w:val="hybridMultilevel"/>
    <w:tmpl w:val="36F6E5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3A7B32"/>
    <w:multiLevelType w:val="hybridMultilevel"/>
    <w:tmpl w:val="FAE60D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372D22"/>
    <w:multiLevelType w:val="hybridMultilevel"/>
    <w:tmpl w:val="E03299B8"/>
    <w:lvl w:ilvl="0" w:tplc="A300E86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F5772F"/>
    <w:multiLevelType w:val="hybridMultilevel"/>
    <w:tmpl w:val="332EC45C"/>
    <w:lvl w:ilvl="0" w:tplc="5ACE0FF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B81A13"/>
    <w:multiLevelType w:val="hybridMultilevel"/>
    <w:tmpl w:val="E004B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4C5FB8"/>
    <w:multiLevelType w:val="hybridMultilevel"/>
    <w:tmpl w:val="AE125836"/>
    <w:lvl w:ilvl="0" w:tplc="945C12AE">
      <w:start w:val="1"/>
      <w:numFmt w:val="lowerLetter"/>
      <w:lvlText w:val="(%1)"/>
      <w:lvlJc w:val="left"/>
      <w:pPr>
        <w:tabs>
          <w:tab w:val="num" w:pos="720"/>
        </w:tabs>
        <w:ind w:left="720" w:hanging="360"/>
      </w:pPr>
      <w:rPr>
        <w:rFonts w:ascii="Arial" w:hAnsi="Arial" w:hint="default"/>
        <w:b w:val="0"/>
        <w:i w:val="0"/>
        <w:sz w:val="22"/>
      </w:rPr>
    </w:lvl>
    <w:lvl w:ilvl="1" w:tplc="154418A8" w:tentative="1">
      <w:start w:val="1"/>
      <w:numFmt w:val="lowerLetter"/>
      <w:lvlText w:val="%2."/>
      <w:lvlJc w:val="left"/>
      <w:pPr>
        <w:tabs>
          <w:tab w:val="num" w:pos="1440"/>
        </w:tabs>
        <w:ind w:left="1440" w:hanging="360"/>
      </w:pPr>
    </w:lvl>
    <w:lvl w:ilvl="2" w:tplc="38626C56" w:tentative="1">
      <w:start w:val="1"/>
      <w:numFmt w:val="lowerRoman"/>
      <w:lvlText w:val="%3."/>
      <w:lvlJc w:val="right"/>
      <w:pPr>
        <w:tabs>
          <w:tab w:val="num" w:pos="2160"/>
        </w:tabs>
        <w:ind w:left="2160" w:hanging="180"/>
      </w:pPr>
    </w:lvl>
    <w:lvl w:ilvl="3" w:tplc="B06CC654" w:tentative="1">
      <w:start w:val="1"/>
      <w:numFmt w:val="decimal"/>
      <w:lvlText w:val="%4."/>
      <w:lvlJc w:val="left"/>
      <w:pPr>
        <w:tabs>
          <w:tab w:val="num" w:pos="2880"/>
        </w:tabs>
        <w:ind w:left="2880" w:hanging="360"/>
      </w:pPr>
    </w:lvl>
    <w:lvl w:ilvl="4" w:tplc="010432FE" w:tentative="1">
      <w:start w:val="1"/>
      <w:numFmt w:val="lowerLetter"/>
      <w:lvlText w:val="%5."/>
      <w:lvlJc w:val="left"/>
      <w:pPr>
        <w:tabs>
          <w:tab w:val="num" w:pos="3600"/>
        </w:tabs>
        <w:ind w:left="3600" w:hanging="360"/>
      </w:pPr>
    </w:lvl>
    <w:lvl w:ilvl="5" w:tplc="ABC4FBC6" w:tentative="1">
      <w:start w:val="1"/>
      <w:numFmt w:val="lowerRoman"/>
      <w:lvlText w:val="%6."/>
      <w:lvlJc w:val="right"/>
      <w:pPr>
        <w:tabs>
          <w:tab w:val="num" w:pos="4320"/>
        </w:tabs>
        <w:ind w:left="4320" w:hanging="180"/>
      </w:pPr>
    </w:lvl>
    <w:lvl w:ilvl="6" w:tplc="6052C852" w:tentative="1">
      <w:start w:val="1"/>
      <w:numFmt w:val="decimal"/>
      <w:lvlText w:val="%7."/>
      <w:lvlJc w:val="left"/>
      <w:pPr>
        <w:tabs>
          <w:tab w:val="num" w:pos="5040"/>
        </w:tabs>
        <w:ind w:left="5040" w:hanging="360"/>
      </w:pPr>
    </w:lvl>
    <w:lvl w:ilvl="7" w:tplc="9BE40628" w:tentative="1">
      <w:start w:val="1"/>
      <w:numFmt w:val="lowerLetter"/>
      <w:lvlText w:val="%8."/>
      <w:lvlJc w:val="left"/>
      <w:pPr>
        <w:tabs>
          <w:tab w:val="num" w:pos="5760"/>
        </w:tabs>
        <w:ind w:left="5760" w:hanging="360"/>
      </w:pPr>
    </w:lvl>
    <w:lvl w:ilvl="8" w:tplc="737CC5CE" w:tentative="1">
      <w:start w:val="1"/>
      <w:numFmt w:val="lowerRoman"/>
      <w:lvlText w:val="%9."/>
      <w:lvlJc w:val="right"/>
      <w:pPr>
        <w:tabs>
          <w:tab w:val="num" w:pos="6480"/>
        </w:tabs>
        <w:ind w:left="6480" w:hanging="180"/>
      </w:pPr>
    </w:lvl>
  </w:abstractNum>
  <w:abstractNum w:abstractNumId="14" w15:restartNumberingAfterBreak="0">
    <w:nsid w:val="2F30724B"/>
    <w:multiLevelType w:val="hybridMultilevel"/>
    <w:tmpl w:val="03705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01B2664"/>
    <w:multiLevelType w:val="hybridMultilevel"/>
    <w:tmpl w:val="0276D2EE"/>
    <w:lvl w:ilvl="0" w:tplc="04090009">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6B2EA1"/>
    <w:multiLevelType w:val="hybridMultilevel"/>
    <w:tmpl w:val="902212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25A603D"/>
    <w:multiLevelType w:val="hybridMultilevel"/>
    <w:tmpl w:val="B1C2F954"/>
    <w:lvl w:ilvl="0" w:tplc="FFFFFFFF">
      <w:start w:val="1"/>
      <w:numFmt w:val="upperLetter"/>
      <w:lvlText w:val="%1."/>
      <w:lvlJc w:val="left"/>
      <w:pPr>
        <w:tabs>
          <w:tab w:val="num" w:pos="720"/>
        </w:tabs>
        <w:ind w:left="720" w:hanging="360"/>
      </w:pPr>
      <w:rPr>
        <w:rFonts w:hint="default"/>
      </w:rPr>
    </w:lvl>
    <w:lvl w:ilvl="1" w:tplc="FFFFFFFF">
      <w:start w:val="3"/>
      <w:numFmt w:val="decimal"/>
      <w:lvlText w:val="%2."/>
      <w:lvlJc w:val="left"/>
      <w:pPr>
        <w:tabs>
          <w:tab w:val="num" w:pos="360"/>
        </w:tabs>
        <w:ind w:left="360" w:hanging="360"/>
      </w:pPr>
      <w:rPr>
        <w:rFonts w:hint="default"/>
      </w:rPr>
    </w:lvl>
    <w:lvl w:ilvl="2" w:tplc="BABEB5CA">
      <w:start w:val="1"/>
      <w:numFmt w:val="decimal"/>
      <w:lvlText w:val="%3)"/>
      <w:lvlJc w:val="left"/>
      <w:pPr>
        <w:tabs>
          <w:tab w:val="num" w:pos="720"/>
        </w:tabs>
        <w:ind w:left="720" w:hanging="360"/>
      </w:pPr>
      <w:rPr>
        <w:rFonts w:hint="default"/>
      </w:rPr>
    </w:lvl>
    <w:lvl w:ilvl="3" w:tplc="D1E49D1A">
      <w:start w:val="1"/>
      <w:numFmt w:val="lowerRoman"/>
      <w:lvlText w:val="%4."/>
      <w:lvlJc w:val="left"/>
      <w:pPr>
        <w:tabs>
          <w:tab w:val="num" w:pos="1440"/>
        </w:tabs>
        <w:ind w:left="1080" w:hanging="360"/>
      </w:pPr>
      <w:rPr>
        <w:rFonts w:hint="default"/>
      </w:rPr>
    </w:lvl>
    <w:lvl w:ilvl="4" w:tplc="A4D02F1E">
      <w:start w:val="1"/>
      <w:numFmt w:val="decimal"/>
      <w:lvlText w:val="%5)"/>
      <w:lvlJc w:val="left"/>
      <w:pPr>
        <w:tabs>
          <w:tab w:val="num" w:pos="720"/>
        </w:tabs>
        <w:ind w:left="720" w:hanging="360"/>
      </w:pPr>
      <w:rPr>
        <w:rFonts w:hint="default"/>
      </w:r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3298291E"/>
    <w:multiLevelType w:val="hybridMultilevel"/>
    <w:tmpl w:val="62BAE8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7E4520B"/>
    <w:multiLevelType w:val="hybridMultilevel"/>
    <w:tmpl w:val="53240C4C"/>
    <w:lvl w:ilvl="0" w:tplc="FFFFFFFF">
      <w:start w:val="1"/>
      <w:numFmt w:val="upperLetter"/>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BE50646"/>
    <w:multiLevelType w:val="hybridMultilevel"/>
    <w:tmpl w:val="DA243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06A52DE"/>
    <w:multiLevelType w:val="hybridMultilevel"/>
    <w:tmpl w:val="C316A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1022D43"/>
    <w:multiLevelType w:val="hybridMultilevel"/>
    <w:tmpl w:val="5C4E78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A560A1"/>
    <w:multiLevelType w:val="hybridMultilevel"/>
    <w:tmpl w:val="A38831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FC7D7F"/>
    <w:multiLevelType w:val="hybridMultilevel"/>
    <w:tmpl w:val="9A1CA4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C5C26DC"/>
    <w:multiLevelType w:val="hybridMultilevel"/>
    <w:tmpl w:val="70E8F4C6"/>
    <w:lvl w:ilvl="0" w:tplc="21FAC808">
      <w:start w:val="1"/>
      <w:numFmt w:val="bullet"/>
      <w:lvlText w:val=""/>
      <w:lvlPicBulletId w:val="0"/>
      <w:lvlJc w:val="left"/>
      <w:pPr>
        <w:ind w:left="720" w:hanging="360"/>
      </w:pPr>
      <w:rPr>
        <w:rFonts w:ascii="Symbol" w:hAnsi="Symbol" w:hint="default"/>
        <w:color w:val="auto"/>
      </w:rPr>
    </w:lvl>
    <w:lvl w:ilvl="1" w:tplc="191A570E">
      <w:start w:val="1"/>
      <w:numFmt w:val="decimal"/>
      <w:lvlText w:val="%2."/>
      <w:lvlJc w:val="left"/>
      <w:pPr>
        <w:ind w:left="1440" w:hanging="360"/>
      </w:pPr>
      <w:rPr>
        <w:rFonts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096BD4"/>
    <w:multiLevelType w:val="hybridMultilevel"/>
    <w:tmpl w:val="EF86ABA4"/>
    <w:lvl w:ilvl="0" w:tplc="5ACE0FF6">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F367DBA"/>
    <w:multiLevelType w:val="hybridMultilevel"/>
    <w:tmpl w:val="A9B4FB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4E80253"/>
    <w:multiLevelType w:val="hybridMultilevel"/>
    <w:tmpl w:val="B0A88942"/>
    <w:lvl w:ilvl="0" w:tplc="FFFFFFFF">
      <w:start w:val="1"/>
      <w:numFmt w:val="upperLetter"/>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4F50D8D"/>
    <w:multiLevelType w:val="hybridMultilevel"/>
    <w:tmpl w:val="2D8A94B6"/>
    <w:lvl w:ilvl="0" w:tplc="04090009">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E8724C"/>
    <w:multiLevelType w:val="hybridMultilevel"/>
    <w:tmpl w:val="2EAE2CB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DBC464C"/>
    <w:multiLevelType w:val="hybridMultilevel"/>
    <w:tmpl w:val="3CDAD5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1E60FAE"/>
    <w:multiLevelType w:val="hybridMultilevel"/>
    <w:tmpl w:val="5CFA4A24"/>
    <w:lvl w:ilvl="0" w:tplc="04090009">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980D98"/>
    <w:multiLevelType w:val="hybridMultilevel"/>
    <w:tmpl w:val="496632AC"/>
    <w:lvl w:ilvl="0" w:tplc="083C4070">
      <w:start w:val="5"/>
      <w:numFmt w:val="decimal"/>
      <w:lvlText w:val="%1."/>
      <w:lvlJc w:val="left"/>
      <w:pPr>
        <w:tabs>
          <w:tab w:val="num" w:pos="360"/>
        </w:tabs>
        <w:ind w:left="360" w:hanging="360"/>
      </w:pPr>
      <w:rPr>
        <w:rFonts w:hint="default"/>
      </w:rPr>
    </w:lvl>
    <w:lvl w:ilvl="1" w:tplc="80C203F0" w:tentative="1">
      <w:start w:val="1"/>
      <w:numFmt w:val="lowerLetter"/>
      <w:lvlText w:val="%2."/>
      <w:lvlJc w:val="left"/>
      <w:pPr>
        <w:tabs>
          <w:tab w:val="num" w:pos="1440"/>
        </w:tabs>
        <w:ind w:left="1440" w:hanging="360"/>
      </w:pPr>
    </w:lvl>
    <w:lvl w:ilvl="2" w:tplc="5566AC24" w:tentative="1">
      <w:start w:val="1"/>
      <w:numFmt w:val="lowerRoman"/>
      <w:lvlText w:val="%3."/>
      <w:lvlJc w:val="right"/>
      <w:pPr>
        <w:tabs>
          <w:tab w:val="num" w:pos="2160"/>
        </w:tabs>
        <w:ind w:left="2160" w:hanging="180"/>
      </w:pPr>
    </w:lvl>
    <w:lvl w:ilvl="3" w:tplc="61E28084" w:tentative="1">
      <w:start w:val="1"/>
      <w:numFmt w:val="decimal"/>
      <w:lvlText w:val="%4."/>
      <w:lvlJc w:val="left"/>
      <w:pPr>
        <w:tabs>
          <w:tab w:val="num" w:pos="2880"/>
        </w:tabs>
        <w:ind w:left="2880" w:hanging="360"/>
      </w:pPr>
    </w:lvl>
    <w:lvl w:ilvl="4" w:tplc="C76AA3A8" w:tentative="1">
      <w:start w:val="1"/>
      <w:numFmt w:val="lowerLetter"/>
      <w:lvlText w:val="%5."/>
      <w:lvlJc w:val="left"/>
      <w:pPr>
        <w:tabs>
          <w:tab w:val="num" w:pos="3600"/>
        </w:tabs>
        <w:ind w:left="3600" w:hanging="360"/>
      </w:pPr>
    </w:lvl>
    <w:lvl w:ilvl="5" w:tplc="F64417B4" w:tentative="1">
      <w:start w:val="1"/>
      <w:numFmt w:val="lowerRoman"/>
      <w:lvlText w:val="%6."/>
      <w:lvlJc w:val="right"/>
      <w:pPr>
        <w:tabs>
          <w:tab w:val="num" w:pos="4320"/>
        </w:tabs>
        <w:ind w:left="4320" w:hanging="180"/>
      </w:pPr>
    </w:lvl>
    <w:lvl w:ilvl="6" w:tplc="D42658D4" w:tentative="1">
      <w:start w:val="1"/>
      <w:numFmt w:val="decimal"/>
      <w:lvlText w:val="%7."/>
      <w:lvlJc w:val="left"/>
      <w:pPr>
        <w:tabs>
          <w:tab w:val="num" w:pos="5040"/>
        </w:tabs>
        <w:ind w:left="5040" w:hanging="360"/>
      </w:pPr>
    </w:lvl>
    <w:lvl w:ilvl="7" w:tplc="3E329806" w:tentative="1">
      <w:start w:val="1"/>
      <w:numFmt w:val="lowerLetter"/>
      <w:lvlText w:val="%8."/>
      <w:lvlJc w:val="left"/>
      <w:pPr>
        <w:tabs>
          <w:tab w:val="num" w:pos="5760"/>
        </w:tabs>
        <w:ind w:left="5760" w:hanging="360"/>
      </w:pPr>
    </w:lvl>
    <w:lvl w:ilvl="8" w:tplc="9C4A54E6" w:tentative="1">
      <w:start w:val="1"/>
      <w:numFmt w:val="lowerRoman"/>
      <w:lvlText w:val="%9."/>
      <w:lvlJc w:val="right"/>
      <w:pPr>
        <w:tabs>
          <w:tab w:val="num" w:pos="6480"/>
        </w:tabs>
        <w:ind w:left="6480" w:hanging="180"/>
      </w:pPr>
    </w:lvl>
  </w:abstractNum>
  <w:abstractNum w:abstractNumId="34" w15:restartNumberingAfterBreak="0">
    <w:nsid w:val="6A980B0A"/>
    <w:multiLevelType w:val="hybridMultilevel"/>
    <w:tmpl w:val="3F0046F2"/>
    <w:lvl w:ilvl="0" w:tplc="FFFFFFFF">
      <w:start w:val="1"/>
      <w:numFmt w:val="upperLetter"/>
      <w:lvlText w:val="%1."/>
      <w:lvlJc w:val="left"/>
      <w:pPr>
        <w:tabs>
          <w:tab w:val="num" w:pos="360"/>
        </w:tabs>
        <w:ind w:left="360" w:hanging="360"/>
      </w:pPr>
      <w:rPr>
        <w:rFonts w:hint="default"/>
      </w:rPr>
    </w:lvl>
    <w:lvl w:ilvl="1" w:tplc="FFFFFFFF">
      <w:start w:val="1"/>
      <w:numFmt w:val="decimal"/>
      <w:lvlText w:val="(%2)"/>
      <w:lvlJc w:val="left"/>
      <w:pPr>
        <w:tabs>
          <w:tab w:val="num" w:pos="720"/>
        </w:tabs>
        <w:ind w:left="720" w:hanging="360"/>
      </w:pPr>
      <w:rPr>
        <w:rFonts w:ascii="Arial" w:hAnsi="Arial" w:hint="default"/>
        <w:b w:val="0"/>
        <w:i w:val="0"/>
        <w:sz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C430789"/>
    <w:multiLevelType w:val="hybridMultilevel"/>
    <w:tmpl w:val="A142CCFC"/>
    <w:lvl w:ilvl="0" w:tplc="594ACF4C">
      <w:start w:val="1"/>
      <w:numFmt w:val="upperLetter"/>
      <w:lvlText w:val="%1."/>
      <w:lvlJc w:val="left"/>
      <w:pPr>
        <w:tabs>
          <w:tab w:val="num" w:pos="360"/>
        </w:tabs>
        <w:ind w:left="360" w:hanging="360"/>
      </w:pPr>
      <w:rPr>
        <w:rFonts w:hint="default"/>
      </w:rPr>
    </w:lvl>
    <w:lvl w:ilvl="1" w:tplc="471696E6">
      <w:start w:val="4"/>
      <w:numFmt w:val="decimal"/>
      <w:lvlText w:val="%2."/>
      <w:lvlJc w:val="left"/>
      <w:pPr>
        <w:tabs>
          <w:tab w:val="num" w:pos="0"/>
        </w:tabs>
        <w:ind w:left="0" w:hanging="360"/>
      </w:pPr>
      <w:rPr>
        <w:rFonts w:hint="default"/>
      </w:rPr>
    </w:lvl>
    <w:lvl w:ilvl="2" w:tplc="757220EA" w:tentative="1">
      <w:start w:val="1"/>
      <w:numFmt w:val="lowerRoman"/>
      <w:lvlText w:val="%3."/>
      <w:lvlJc w:val="right"/>
      <w:pPr>
        <w:tabs>
          <w:tab w:val="num" w:pos="2160"/>
        </w:tabs>
        <w:ind w:left="2160" w:hanging="180"/>
      </w:pPr>
    </w:lvl>
    <w:lvl w:ilvl="3" w:tplc="08C0FB24" w:tentative="1">
      <w:start w:val="1"/>
      <w:numFmt w:val="decimal"/>
      <w:lvlText w:val="%4."/>
      <w:lvlJc w:val="left"/>
      <w:pPr>
        <w:tabs>
          <w:tab w:val="num" w:pos="2880"/>
        </w:tabs>
        <w:ind w:left="2880" w:hanging="360"/>
      </w:pPr>
    </w:lvl>
    <w:lvl w:ilvl="4" w:tplc="39A61B0E" w:tentative="1">
      <w:start w:val="1"/>
      <w:numFmt w:val="lowerLetter"/>
      <w:lvlText w:val="%5."/>
      <w:lvlJc w:val="left"/>
      <w:pPr>
        <w:tabs>
          <w:tab w:val="num" w:pos="3600"/>
        </w:tabs>
        <w:ind w:left="3600" w:hanging="360"/>
      </w:pPr>
    </w:lvl>
    <w:lvl w:ilvl="5" w:tplc="49EEA746" w:tentative="1">
      <w:start w:val="1"/>
      <w:numFmt w:val="lowerRoman"/>
      <w:lvlText w:val="%6."/>
      <w:lvlJc w:val="right"/>
      <w:pPr>
        <w:tabs>
          <w:tab w:val="num" w:pos="4320"/>
        </w:tabs>
        <w:ind w:left="4320" w:hanging="180"/>
      </w:pPr>
    </w:lvl>
    <w:lvl w:ilvl="6" w:tplc="914EC34E" w:tentative="1">
      <w:start w:val="1"/>
      <w:numFmt w:val="decimal"/>
      <w:lvlText w:val="%7."/>
      <w:lvlJc w:val="left"/>
      <w:pPr>
        <w:tabs>
          <w:tab w:val="num" w:pos="5040"/>
        </w:tabs>
        <w:ind w:left="5040" w:hanging="360"/>
      </w:pPr>
    </w:lvl>
    <w:lvl w:ilvl="7" w:tplc="2A2E6F7A" w:tentative="1">
      <w:start w:val="1"/>
      <w:numFmt w:val="lowerLetter"/>
      <w:lvlText w:val="%8."/>
      <w:lvlJc w:val="left"/>
      <w:pPr>
        <w:tabs>
          <w:tab w:val="num" w:pos="5760"/>
        </w:tabs>
        <w:ind w:left="5760" w:hanging="360"/>
      </w:pPr>
    </w:lvl>
    <w:lvl w:ilvl="8" w:tplc="197873E6" w:tentative="1">
      <w:start w:val="1"/>
      <w:numFmt w:val="lowerRoman"/>
      <w:lvlText w:val="%9."/>
      <w:lvlJc w:val="right"/>
      <w:pPr>
        <w:tabs>
          <w:tab w:val="num" w:pos="6480"/>
        </w:tabs>
        <w:ind w:left="6480" w:hanging="180"/>
      </w:pPr>
    </w:lvl>
  </w:abstractNum>
  <w:abstractNum w:abstractNumId="36" w15:restartNumberingAfterBreak="0">
    <w:nsid w:val="6DCA2C41"/>
    <w:multiLevelType w:val="hybridMultilevel"/>
    <w:tmpl w:val="DE8644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EEC1848"/>
    <w:multiLevelType w:val="hybridMultilevel"/>
    <w:tmpl w:val="4F06312A"/>
    <w:lvl w:ilvl="0" w:tplc="DE865D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ED1619"/>
    <w:multiLevelType w:val="hybridMultilevel"/>
    <w:tmpl w:val="C412597C"/>
    <w:lvl w:ilvl="0" w:tplc="3C201ED0">
      <w:start w:val="1"/>
      <w:numFmt w:val="upperRoman"/>
      <w:lvlText w:val="%1."/>
      <w:lvlJc w:val="left"/>
      <w:pPr>
        <w:tabs>
          <w:tab w:val="num" w:pos="72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87C6F86"/>
    <w:multiLevelType w:val="hybridMultilevel"/>
    <w:tmpl w:val="693CC422"/>
    <w:lvl w:ilvl="0" w:tplc="04090001">
      <w:start w:val="1"/>
      <w:numFmt w:val="bullet"/>
      <w:lvlText w:val=""/>
      <w:lvlJc w:val="left"/>
      <w:pPr>
        <w:ind w:left="360" w:hanging="360"/>
      </w:pPr>
      <w:rPr>
        <w:rFonts w:ascii="Symbol" w:hAnsi="Symbol" w:hint="default"/>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B1E0CA9"/>
    <w:multiLevelType w:val="hybridMultilevel"/>
    <w:tmpl w:val="A30A1DFC"/>
    <w:lvl w:ilvl="0" w:tplc="04090009">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D90B7F"/>
    <w:multiLevelType w:val="hybridMultilevel"/>
    <w:tmpl w:val="4990A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E659A3"/>
    <w:multiLevelType w:val="hybridMultilevel"/>
    <w:tmpl w:val="0686B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CE93964"/>
    <w:multiLevelType w:val="hybridMultilevel"/>
    <w:tmpl w:val="27927044"/>
    <w:lvl w:ilvl="0" w:tplc="43AC929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5"/>
  </w:num>
  <w:num w:numId="3">
    <w:abstractNumId w:val="28"/>
  </w:num>
  <w:num w:numId="4">
    <w:abstractNumId w:val="19"/>
  </w:num>
  <w:num w:numId="5">
    <w:abstractNumId w:val="7"/>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
  </w:num>
  <w:num w:numId="9">
    <w:abstractNumId w:val="33"/>
  </w:num>
  <w:num w:numId="10">
    <w:abstractNumId w:val="8"/>
  </w:num>
  <w:num w:numId="11">
    <w:abstractNumId w:val="6"/>
  </w:num>
  <w:num w:numId="12">
    <w:abstractNumId w:val="38"/>
  </w:num>
  <w:num w:numId="13">
    <w:abstractNumId w:val="26"/>
  </w:num>
  <w:num w:numId="14">
    <w:abstractNumId w:val="3"/>
  </w:num>
  <w:num w:numId="15">
    <w:abstractNumId w:val="11"/>
  </w:num>
  <w:num w:numId="16">
    <w:abstractNumId w:val="0"/>
  </w:num>
  <w:num w:numId="17">
    <w:abstractNumId w:val="16"/>
  </w:num>
  <w:num w:numId="18">
    <w:abstractNumId w:val="43"/>
  </w:num>
  <w:num w:numId="19">
    <w:abstractNumId w:val="5"/>
  </w:num>
  <w:num w:numId="20">
    <w:abstractNumId w:val="14"/>
  </w:num>
  <w:num w:numId="21">
    <w:abstractNumId w:val="20"/>
  </w:num>
  <w:num w:numId="22">
    <w:abstractNumId w:val="42"/>
  </w:num>
  <w:num w:numId="23">
    <w:abstractNumId w:val="9"/>
  </w:num>
  <w:num w:numId="24">
    <w:abstractNumId w:val="32"/>
  </w:num>
  <w:num w:numId="25">
    <w:abstractNumId w:val="31"/>
  </w:num>
  <w:num w:numId="26">
    <w:abstractNumId w:val="29"/>
  </w:num>
  <w:num w:numId="27">
    <w:abstractNumId w:val="18"/>
  </w:num>
  <w:num w:numId="28">
    <w:abstractNumId w:val="15"/>
  </w:num>
  <w:num w:numId="29">
    <w:abstractNumId w:val="36"/>
  </w:num>
  <w:num w:numId="30">
    <w:abstractNumId w:val="37"/>
  </w:num>
  <w:num w:numId="31">
    <w:abstractNumId w:val="40"/>
  </w:num>
  <w:num w:numId="32">
    <w:abstractNumId w:val="24"/>
  </w:num>
  <w:num w:numId="33">
    <w:abstractNumId w:val="12"/>
  </w:num>
  <w:num w:numId="34">
    <w:abstractNumId w:val="41"/>
  </w:num>
  <w:num w:numId="35">
    <w:abstractNumId w:val="30"/>
  </w:num>
  <w:num w:numId="36">
    <w:abstractNumId w:val="39"/>
  </w:num>
  <w:num w:numId="37">
    <w:abstractNumId w:val="21"/>
  </w:num>
  <w:num w:numId="38">
    <w:abstractNumId w:val="27"/>
  </w:num>
  <w:num w:numId="39">
    <w:abstractNumId w:val="4"/>
  </w:num>
  <w:num w:numId="40">
    <w:abstractNumId w:val="10"/>
  </w:num>
  <w:num w:numId="41">
    <w:abstractNumId w:val="25"/>
  </w:num>
  <w:num w:numId="42">
    <w:abstractNumId w:val="22"/>
  </w:num>
  <w:num w:numId="43">
    <w:abstractNumId w:val="23"/>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95"/>
    <w:rsid w:val="00024238"/>
    <w:rsid w:val="00063BAE"/>
    <w:rsid w:val="000C0F4D"/>
    <w:rsid w:val="000F638A"/>
    <w:rsid w:val="00120954"/>
    <w:rsid w:val="001265EF"/>
    <w:rsid w:val="001663B5"/>
    <w:rsid w:val="001E362B"/>
    <w:rsid w:val="00210F19"/>
    <w:rsid w:val="00293AA9"/>
    <w:rsid w:val="002B3DDD"/>
    <w:rsid w:val="002D24E5"/>
    <w:rsid w:val="002D6EDA"/>
    <w:rsid w:val="00362265"/>
    <w:rsid w:val="003B6583"/>
    <w:rsid w:val="003C6A0C"/>
    <w:rsid w:val="003E1F90"/>
    <w:rsid w:val="003F0085"/>
    <w:rsid w:val="003F39FE"/>
    <w:rsid w:val="003F7B67"/>
    <w:rsid w:val="00426D36"/>
    <w:rsid w:val="0043220A"/>
    <w:rsid w:val="0044348A"/>
    <w:rsid w:val="00480049"/>
    <w:rsid w:val="004B0AE7"/>
    <w:rsid w:val="004B7B4C"/>
    <w:rsid w:val="004C4C02"/>
    <w:rsid w:val="004D53DF"/>
    <w:rsid w:val="005223CD"/>
    <w:rsid w:val="005458BD"/>
    <w:rsid w:val="005573C5"/>
    <w:rsid w:val="00570FA6"/>
    <w:rsid w:val="005C0665"/>
    <w:rsid w:val="00611E75"/>
    <w:rsid w:val="0065274A"/>
    <w:rsid w:val="00656B2D"/>
    <w:rsid w:val="00660A58"/>
    <w:rsid w:val="00683779"/>
    <w:rsid w:val="006B3E95"/>
    <w:rsid w:val="006B43C1"/>
    <w:rsid w:val="006E7AAF"/>
    <w:rsid w:val="007125EF"/>
    <w:rsid w:val="00744A4F"/>
    <w:rsid w:val="00760431"/>
    <w:rsid w:val="00777585"/>
    <w:rsid w:val="00787A67"/>
    <w:rsid w:val="00791439"/>
    <w:rsid w:val="007A5EAD"/>
    <w:rsid w:val="007C0D81"/>
    <w:rsid w:val="00806C7A"/>
    <w:rsid w:val="00822EBD"/>
    <w:rsid w:val="0085762B"/>
    <w:rsid w:val="008B7755"/>
    <w:rsid w:val="008F57F2"/>
    <w:rsid w:val="00902D27"/>
    <w:rsid w:val="009038D7"/>
    <w:rsid w:val="0090529F"/>
    <w:rsid w:val="00911F44"/>
    <w:rsid w:val="00920180"/>
    <w:rsid w:val="009317EE"/>
    <w:rsid w:val="0095637C"/>
    <w:rsid w:val="00981C37"/>
    <w:rsid w:val="009A6FF2"/>
    <w:rsid w:val="009B1E6A"/>
    <w:rsid w:val="009C0F59"/>
    <w:rsid w:val="009D63A9"/>
    <w:rsid w:val="009E2CF5"/>
    <w:rsid w:val="009E7168"/>
    <w:rsid w:val="009F5037"/>
    <w:rsid w:val="00A055BF"/>
    <w:rsid w:val="00A51978"/>
    <w:rsid w:val="00A9492D"/>
    <w:rsid w:val="00AD57D0"/>
    <w:rsid w:val="00AE469B"/>
    <w:rsid w:val="00B3735F"/>
    <w:rsid w:val="00B77B78"/>
    <w:rsid w:val="00BC7AD9"/>
    <w:rsid w:val="00BF1095"/>
    <w:rsid w:val="00C1301D"/>
    <w:rsid w:val="00C26C34"/>
    <w:rsid w:val="00C45094"/>
    <w:rsid w:val="00C71C4A"/>
    <w:rsid w:val="00C77421"/>
    <w:rsid w:val="00C86174"/>
    <w:rsid w:val="00D4250C"/>
    <w:rsid w:val="00D6002D"/>
    <w:rsid w:val="00D86190"/>
    <w:rsid w:val="00DA7B01"/>
    <w:rsid w:val="00DF0EDB"/>
    <w:rsid w:val="00DF5228"/>
    <w:rsid w:val="00E3460C"/>
    <w:rsid w:val="00E726B6"/>
    <w:rsid w:val="00ED5A2D"/>
    <w:rsid w:val="00EF0851"/>
    <w:rsid w:val="00F7427A"/>
    <w:rsid w:val="00F77F04"/>
    <w:rsid w:val="00F91A08"/>
    <w:rsid w:val="00F96090"/>
    <w:rsid w:val="00FD4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25F1AC3"/>
  <w15:chartTrackingRefBased/>
  <w15:docId w15:val="{DF34B528-1B02-4843-A0B4-3F9224F3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uiPriority="10"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next w:val="Normal"/>
    <w:qFormat/>
    <w:pPr>
      <w:outlineLvl w:val="0"/>
    </w:pPr>
    <w:rPr>
      <w:noProof/>
    </w:rPr>
  </w:style>
  <w:style w:type="paragraph" w:styleId="Heading2">
    <w:name w:val="heading 2"/>
    <w:basedOn w:val="Normal"/>
    <w:next w:val="Normal"/>
    <w:link w:val="Heading2Char"/>
    <w:semiHidden/>
    <w:unhideWhenUsed/>
    <w:qFormat/>
    <w:rsid w:val="00656B2D"/>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Arial" w:hAnsi="Arial"/>
      <w:color w:val="0000FF"/>
      <w:sz w:val="22"/>
      <w:u w:val="single"/>
    </w:rPr>
  </w:style>
  <w:style w:type="paragraph" w:styleId="Title">
    <w:name w:val="Title"/>
    <w:basedOn w:val="Normal"/>
    <w:link w:val="TitleChar"/>
    <w:uiPriority w:val="10"/>
    <w:qFormat/>
    <w:pPr>
      <w:jc w:val="center"/>
    </w:pPr>
  </w:style>
  <w:style w:type="paragraph" w:styleId="BalloonText">
    <w:name w:val="Balloon Text"/>
    <w:basedOn w:val="Normal"/>
    <w:semiHidden/>
    <w:rPr>
      <w:rFonts w:ascii="Tahoma" w:hAnsi="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pPr>
  </w:style>
  <w:style w:type="paragraph" w:styleId="Header">
    <w:name w:val="header"/>
    <w:basedOn w:val="Normal"/>
    <w:pPr>
      <w:tabs>
        <w:tab w:val="center" w:pos="4320"/>
        <w:tab w:val="right" w:pos="8640"/>
      </w:tabs>
    </w:pPr>
  </w:style>
  <w:style w:type="paragraph" w:styleId="CommentText">
    <w:name w:val="annotation text"/>
    <w:basedOn w:val="Normal"/>
    <w:semiHidden/>
    <w:rPr>
      <w:sz w:val="20"/>
      <w:szCs w:val="20"/>
    </w:rPr>
  </w:style>
  <w:style w:type="character" w:styleId="FollowedHyperlink">
    <w:name w:val="FollowedHyperlink"/>
    <w:rsid w:val="0095637C"/>
    <w:rPr>
      <w:color w:val="800080"/>
      <w:u w:val="single"/>
    </w:rPr>
  </w:style>
  <w:style w:type="paragraph" w:styleId="ListParagraph">
    <w:name w:val="List Paragraph"/>
    <w:basedOn w:val="Normal"/>
    <w:uiPriority w:val="34"/>
    <w:qFormat/>
    <w:rsid w:val="009F5037"/>
    <w:pPr>
      <w:ind w:left="720"/>
    </w:pPr>
  </w:style>
  <w:style w:type="paragraph" w:styleId="FootnoteText">
    <w:name w:val="footnote text"/>
    <w:basedOn w:val="Normal"/>
    <w:link w:val="FootnoteTextChar"/>
    <w:uiPriority w:val="99"/>
    <w:rsid w:val="003E1F90"/>
    <w:rPr>
      <w:sz w:val="20"/>
      <w:szCs w:val="20"/>
    </w:rPr>
  </w:style>
  <w:style w:type="character" w:customStyle="1" w:styleId="FootnoteTextChar">
    <w:name w:val="Footnote Text Char"/>
    <w:link w:val="FootnoteText"/>
    <w:uiPriority w:val="99"/>
    <w:rsid w:val="003E1F90"/>
    <w:rPr>
      <w:rFonts w:ascii="Arial" w:hAnsi="Arial"/>
    </w:rPr>
  </w:style>
  <w:style w:type="character" w:styleId="FootnoteReference">
    <w:name w:val="footnote reference"/>
    <w:uiPriority w:val="99"/>
    <w:rsid w:val="003E1F90"/>
    <w:rPr>
      <w:vertAlign w:val="superscript"/>
    </w:rPr>
  </w:style>
  <w:style w:type="character" w:customStyle="1" w:styleId="TitleChar">
    <w:name w:val="Title Char"/>
    <w:link w:val="Title"/>
    <w:uiPriority w:val="10"/>
    <w:rsid w:val="001663B5"/>
    <w:rPr>
      <w:rFonts w:ascii="Arial" w:hAnsi="Arial"/>
      <w:sz w:val="22"/>
      <w:szCs w:val="24"/>
    </w:rPr>
  </w:style>
  <w:style w:type="table" w:styleId="TableGrid">
    <w:name w:val="Table Grid"/>
    <w:basedOn w:val="TableNormal"/>
    <w:uiPriority w:val="39"/>
    <w:rsid w:val="00DF0ED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317EE"/>
    <w:pPr>
      <w:spacing w:before="100" w:beforeAutospacing="1" w:after="100" w:afterAutospacing="1"/>
    </w:pPr>
    <w:rPr>
      <w:rFonts w:ascii="Times New Roman" w:hAnsi="Times New Roman"/>
      <w:sz w:val="24"/>
    </w:rPr>
  </w:style>
  <w:style w:type="character" w:customStyle="1" w:styleId="Heading2Char">
    <w:name w:val="Heading 2 Char"/>
    <w:link w:val="Heading2"/>
    <w:uiPriority w:val="9"/>
    <w:rsid w:val="00656B2D"/>
    <w:rPr>
      <w:rFonts w:ascii="Calibri Light" w:eastAsia="Times New Roman" w:hAnsi="Calibri Light" w:cs="Times New Roman"/>
      <w:b/>
      <w:bCs/>
      <w:i/>
      <w:iCs/>
      <w:sz w:val="28"/>
      <w:szCs w:val="28"/>
    </w:rPr>
  </w:style>
  <w:style w:type="table" w:customStyle="1" w:styleId="GridTable1Light-Accent51">
    <w:name w:val="Grid Table 1 Light - Accent 51"/>
    <w:basedOn w:val="TableNormal"/>
    <w:uiPriority w:val="46"/>
    <w:rsid w:val="00656B2D"/>
    <w:rPr>
      <w:rFonts w:ascii="Calibri" w:eastAsia="Calibri" w:hAnsi="Calibri"/>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cfr.gov/cgi-bin/retrieveECFR?gp=&amp;SID=69c69101690b6b7b324bc70ff6d716c2&amp;r=PART&amp;n=45y1.0.1.3.78"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5b7736e9-9df8-49a6-b09e-9141c6f3dbe0"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F8F4E189275342A146AC7B3B792B40" ma:contentTypeVersion="1" ma:contentTypeDescription="Create a new document." ma:contentTypeScope="" ma:versionID="020150afb5e3747d14fb5aaf3b8a363e">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5C1B3-B09C-4416-9D76-73149CFD2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C6B124-A8C2-41C8-B518-E2AFD2DAFC22}">
  <ds:schemaRefs>
    <ds:schemaRef ds:uri="http://schemas.microsoft.com/office/2006/metadata/longProperties"/>
  </ds:schemaRefs>
</ds:datastoreItem>
</file>

<file path=customXml/itemProps3.xml><?xml version="1.0" encoding="utf-8"?>
<ds:datastoreItem xmlns:ds="http://schemas.openxmlformats.org/officeDocument/2006/customXml" ds:itemID="{11B620DC-12A6-453B-A8D9-701E23CF62B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B9B1FEA-562B-4458-BA2F-ABA6D5131BC0}">
  <ds:schemaRefs>
    <ds:schemaRef ds:uri="http://schemas.microsoft.com/sharepoint/v3/contenttype/forms"/>
  </ds:schemaRefs>
</ds:datastoreItem>
</file>

<file path=customXml/itemProps5.xml><?xml version="1.0" encoding="utf-8"?>
<ds:datastoreItem xmlns:ds="http://schemas.openxmlformats.org/officeDocument/2006/customXml" ds:itemID="{DEFC49B8-F763-45E6-A03D-00A3CC3CB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1303</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HIPAA Business Associate Agreement</vt:lpstr>
    </vt:vector>
  </TitlesOfParts>
  <Company>State of California</Company>
  <LinksUpToDate>false</LinksUpToDate>
  <CharactersWithSpaces>8199</CharactersWithSpaces>
  <SharedDoc>false</SharedDoc>
  <HLinks>
    <vt:vector size="12" baseType="variant">
      <vt:variant>
        <vt:i4>4980820</vt:i4>
      </vt:variant>
      <vt:variant>
        <vt:i4>0</vt:i4>
      </vt:variant>
      <vt:variant>
        <vt:i4>0</vt:i4>
      </vt:variant>
      <vt:variant>
        <vt:i4>5</vt:i4>
      </vt:variant>
      <vt:variant>
        <vt:lpwstr>http://www.ecfr.gov/cgi-bin/retrieveECFR?gp=&amp;SID=69c69101690b6b7b324bc70ff6d716c2&amp;r=PART&amp;n=45y1.0.1.3.78</vt:lpwstr>
      </vt:variant>
      <vt:variant>
        <vt:lpwstr>45:1.0.1.3.78.5.27.10</vt:lpwstr>
      </vt:variant>
      <vt:variant>
        <vt:i4>5570566</vt:i4>
      </vt:variant>
      <vt:variant>
        <vt:i4>10436</vt:i4>
      </vt:variant>
      <vt:variant>
        <vt:i4>1133</vt:i4>
      </vt:variant>
      <vt:variant>
        <vt:i4>1</vt:i4>
      </vt:variant>
      <vt:variant>
        <vt:lpwstr>cid:5b7736e9-9df8-49a6-b09e-9141c6f3dbe0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HIPAA Business Associate Agreement</dc:title>
  <dc:subject/>
  <dc:creator>Department of Health Services</dc:creator>
  <cp:keywords>Stanard Risk, contracts, business associate agreements</cp:keywords>
  <cp:lastModifiedBy>Babb, Rochelle@CDII</cp:lastModifiedBy>
  <cp:revision>3</cp:revision>
  <cp:lastPrinted>2018-05-08T18:52:00Z</cp:lastPrinted>
  <dcterms:created xsi:type="dcterms:W3CDTF">2022-05-16T16:33:00Z</dcterms:created>
  <dcterms:modified xsi:type="dcterms:W3CDTF">2022-05-24T19:24:00Z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Gender">
    <vt:lpwstr/>
  </property>
  <property fmtid="{D5CDD505-2E9C-101B-9397-08002B2CF9AE}" pid="3" name="TAGEthnicity">
    <vt:lpwstr/>
  </property>
  <property fmtid="{D5CDD505-2E9C-101B-9397-08002B2CF9AE}" pid="4" name="ContentType">
    <vt:lpwstr>DHCS Document</vt:lpwstr>
  </property>
  <property fmtid="{D5CDD505-2E9C-101B-9397-08002B2CF9AE}" pid="5" name="Abstract">
    <vt:lpwstr>Standard Risk Contract for reporting breaches</vt:lpwstr>
  </property>
  <property fmtid="{D5CDD505-2E9C-101B-9397-08002B2CF9AE}" pid="6" name="PublishingContactName">
    <vt:lpwstr>Diane Peters</vt:lpwstr>
  </property>
  <property fmtid="{D5CDD505-2E9C-101B-9397-08002B2CF9AE}" pid="7" name="Language">
    <vt:lpwstr>English</vt:lpwstr>
  </property>
  <property fmtid="{D5CDD505-2E9C-101B-9397-08002B2CF9AE}" pid="8" name="Topics">
    <vt:lpwstr>3;#</vt:lpwstr>
  </property>
  <property fmtid="{D5CDD505-2E9C-101B-9397-08002B2CF9AE}" pid="9" name="TAGBusPart">
    <vt:lpwstr>1;#;#3;#;#6;#</vt:lpwstr>
  </property>
  <property fmtid="{D5CDD505-2E9C-101B-9397-08002B2CF9AE}" pid="10" name="Reading Level">
    <vt:lpwstr/>
  </property>
  <property fmtid="{D5CDD505-2E9C-101B-9397-08002B2CF9AE}" pid="11" name="Organization">
    <vt:lpwstr>6</vt:lpwstr>
  </property>
  <property fmtid="{D5CDD505-2E9C-101B-9397-08002B2CF9AE}" pid="12" name="TAGAge">
    <vt:lpwstr>3;#</vt:lpwstr>
  </property>
  <property fmtid="{D5CDD505-2E9C-101B-9397-08002B2CF9AE}" pid="13" name="display_urn:schemas-microsoft-com:office:office#Editor">
    <vt:lpwstr>Saunders, Karen@OHI</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display_urn:schemas-microsoft-com:office:office#Author">
    <vt:lpwstr>Saunders, Karen@OHI</vt:lpwstr>
  </property>
  <property fmtid="{D5CDD505-2E9C-101B-9397-08002B2CF9AE}" pid="18" name="_SourceUrl">
    <vt:lpwstr/>
  </property>
  <property fmtid="{D5CDD505-2E9C-101B-9397-08002B2CF9AE}" pid="19" name="_SharedFileIndex">
    <vt:lpwstr/>
  </property>
  <property fmtid="{D5CDD505-2E9C-101B-9397-08002B2CF9AE}" pid="20" name="Subject">
    <vt:lpwstr/>
  </property>
  <property fmtid="{D5CDD505-2E9C-101B-9397-08002B2CF9AE}" pid="21" name="_Author">
    <vt:lpwstr>Department of Health Services</vt:lpwstr>
  </property>
  <property fmtid="{D5CDD505-2E9C-101B-9397-08002B2CF9AE}" pid="22" name="_Category">
    <vt:lpwstr/>
  </property>
  <property fmtid="{D5CDD505-2E9C-101B-9397-08002B2CF9AE}" pid="23" name="Categories">
    <vt:lpwstr/>
  </property>
  <property fmtid="{D5CDD505-2E9C-101B-9397-08002B2CF9AE}" pid="24" name="Approval Level">
    <vt:lpwstr/>
  </property>
  <property fmtid="{D5CDD505-2E9C-101B-9397-08002B2CF9AE}" pid="25" name="_Comments">
    <vt:lpwstr/>
  </property>
  <property fmtid="{D5CDD505-2E9C-101B-9397-08002B2CF9AE}" pid="26" name="Assigned To">
    <vt:lpwstr/>
  </property>
  <property fmtid="{D5CDD505-2E9C-101B-9397-08002B2CF9AE}" pid="27" name="Keywords">
    <vt:lpwstr>Stanard Risk, contracts, business associate agreements</vt:lpwstr>
  </property>
  <property fmtid="{D5CDD505-2E9C-101B-9397-08002B2CF9AE}" pid="28" name="Order">
    <vt:lpwstr>2900.00000000000</vt:lpwstr>
  </property>
  <property fmtid="{D5CDD505-2E9C-101B-9397-08002B2CF9AE}" pid="29" name="Publication Type">
    <vt:lpwstr/>
  </property>
</Properties>
</file>