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3851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0083C3AA" wp14:editId="59F60641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5ADF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1F418F" w14:textId="005DA4D7" w:rsidR="007E3477" w:rsidRPr="007E3477" w:rsidRDefault="005F48D4" w:rsidP="00E2528D">
      <w:pPr>
        <w:spacing w:before="240" w:after="120"/>
        <w:jc w:val="right"/>
        <w:rPr>
          <w:b/>
        </w:rPr>
      </w:pPr>
      <w:r>
        <w:rPr>
          <w:b/>
        </w:rPr>
        <w:t>October</w:t>
      </w:r>
      <w:r w:rsidR="009138F7">
        <w:rPr>
          <w:b/>
        </w:rPr>
        <w:t xml:space="preserve"> </w:t>
      </w:r>
      <w:r w:rsidR="007E3477" w:rsidRPr="007E3477">
        <w:rPr>
          <w:b/>
        </w:rPr>
        <w:t>2019</w:t>
      </w:r>
    </w:p>
    <w:p w14:paraId="7E22E562" w14:textId="77777777" w:rsidR="000F229E" w:rsidRDefault="0095056B" w:rsidP="00E85281">
      <w:pPr>
        <w:spacing w:before="100" w:after="200" w:line="276" w:lineRule="auto"/>
      </w:pPr>
      <w:r>
        <w:rPr>
          <w:b/>
          <w:i/>
        </w:rPr>
        <w:t xml:space="preserve">In this month’s communication, </w:t>
      </w:r>
      <w:r w:rsidR="00AC562C">
        <w:t>the California Office of Health Information Integrity (CalOHII)</w:t>
      </w:r>
      <w:r w:rsidR="00E85281">
        <w:t xml:space="preserve"> </w:t>
      </w:r>
      <w:r>
        <w:t xml:space="preserve">provides updates on CalOHII activities, news from </w:t>
      </w:r>
      <w:r w:rsidR="009F3148">
        <w:t>the federal Health and Human Services (</w:t>
      </w:r>
      <w:r>
        <w:t>HHS</w:t>
      </w:r>
      <w:r w:rsidR="009F3148">
        <w:t>)</w:t>
      </w:r>
      <w:r>
        <w:t xml:space="preserve"> as well as links to various news articles related to the Health Insurance Portability and Accountability Act (HIPAA)</w:t>
      </w:r>
      <w:r w:rsidR="008F73B8">
        <w:t xml:space="preserve"> and healthcare industry</w:t>
      </w:r>
      <w:r w:rsidR="00E85281">
        <w:t>.</w:t>
      </w:r>
    </w:p>
    <w:p w14:paraId="1BC6EA06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14:paraId="0AAB54BE" w14:textId="707B0CED" w:rsidR="001B21F9" w:rsidRDefault="001B21F9" w:rsidP="004959C4">
      <w:pPr>
        <w:pStyle w:val="ListParagraph"/>
        <w:numPr>
          <w:ilvl w:val="0"/>
          <w:numId w:val="2"/>
        </w:numPr>
        <w:spacing w:before="100" w:after="200" w:line="276" w:lineRule="auto"/>
      </w:pPr>
      <w:r>
        <w:t>The</w:t>
      </w:r>
      <w:r w:rsidRPr="001B21F9">
        <w:t xml:space="preserve"> June 2019 version of the Statewide Health Information Policy Manual (SHIPM) has been updated to reflect a small change to SHIPM policy 5.4.1</w:t>
      </w:r>
      <w:r w:rsidR="00680ED5">
        <w:t xml:space="preserve"> Patient’s (Individual’s) Right to Access Health Information</w:t>
      </w:r>
      <w:r w:rsidRPr="001B21F9">
        <w:t xml:space="preserve"> (specifically III.A.1).  Refer to </w:t>
      </w:r>
      <w:hyperlink r:id="rId7" w:history="1">
        <w:r w:rsidRPr="001B21F9">
          <w:rPr>
            <w:rStyle w:val="Hyperlink"/>
          </w:rPr>
          <w:t>the SHIPM Documents Version 6/2019</w:t>
        </w:r>
      </w:hyperlink>
      <w:r w:rsidRPr="001B21F9">
        <w:t> page for the latest version of the document.</w:t>
      </w:r>
    </w:p>
    <w:p w14:paraId="16D4F68D" w14:textId="62F27625" w:rsidR="005F48D4" w:rsidRDefault="005F48D4" w:rsidP="004959C4">
      <w:pPr>
        <w:pStyle w:val="ListParagraph"/>
        <w:numPr>
          <w:ilvl w:val="0"/>
          <w:numId w:val="2"/>
        </w:numPr>
        <w:spacing w:before="100" w:after="200" w:line="276" w:lineRule="auto"/>
      </w:pPr>
      <w:r>
        <w:t xml:space="preserve">CalOHII is working with California Health &amp; Human Services Agency to respond to </w:t>
      </w:r>
      <w:r w:rsidRPr="005F48D4">
        <w:t>Substance Abuse and Mental Health Services Administration (SAMHSA) Notice of Proposed Rulemaking (NPRM) regarding updates to 42 CFR Part 2.</w:t>
      </w:r>
    </w:p>
    <w:p w14:paraId="6C51C627" w14:textId="39E1F1ED" w:rsidR="000A6F6C" w:rsidRDefault="000A6F6C" w:rsidP="00F615F9">
      <w:pPr>
        <w:pStyle w:val="ListParagraph"/>
        <w:numPr>
          <w:ilvl w:val="0"/>
          <w:numId w:val="2"/>
        </w:numPr>
        <w:spacing w:before="100" w:after="200" w:line="276" w:lineRule="auto"/>
      </w:pPr>
      <w:r w:rsidRPr="006405BA">
        <w:t>State Legislation Review</w:t>
      </w:r>
      <w:r w:rsidRPr="008C46C6">
        <w:rPr>
          <w:b/>
        </w:rPr>
        <w:t xml:space="preserve"> </w:t>
      </w:r>
      <w:r w:rsidRPr="008C46C6">
        <w:t xml:space="preserve">– CalOHII </w:t>
      </w:r>
      <w:r w:rsidR="005F48D4">
        <w:t xml:space="preserve">is tracking the final outcome of several bills and will be </w:t>
      </w:r>
      <w:r w:rsidR="008F534E">
        <w:t xml:space="preserve">assessing the specific impacts of signed bill to the </w:t>
      </w:r>
      <w:r w:rsidR="008F534E" w:rsidRPr="00B7148B">
        <w:t>Statewide Health Information Policy Manual (SHIPM)</w:t>
      </w:r>
      <w:r w:rsidR="008F534E">
        <w:t xml:space="preserve">. </w:t>
      </w:r>
    </w:p>
    <w:p w14:paraId="182BB8F6" w14:textId="77777777"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HHS News</w:t>
      </w:r>
    </w:p>
    <w:p w14:paraId="274B1948" w14:textId="19CB1218" w:rsidR="00E36A08" w:rsidRPr="001B21F9" w:rsidRDefault="00E36A08" w:rsidP="00E4177E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OCR </w:t>
      </w:r>
      <w:r w:rsidR="005F48D4">
        <w:rPr>
          <w:b/>
        </w:rPr>
        <w:t>to Settle Social Media Disclosure of Patients’ Protected Health Information (PHI)</w:t>
      </w:r>
      <w:r>
        <w:rPr>
          <w:b/>
        </w:rPr>
        <w:t xml:space="preserve"> – </w:t>
      </w:r>
      <w:r>
        <w:rPr>
          <w:bCs/>
        </w:rPr>
        <w:t xml:space="preserve">a covered entity has settled </w:t>
      </w:r>
      <w:r w:rsidR="005F48D4">
        <w:rPr>
          <w:bCs/>
        </w:rPr>
        <w:t>with OCR after the dental practice disclosed PHI when responding to patient reviews on Yelp</w:t>
      </w:r>
      <w:r>
        <w:rPr>
          <w:bCs/>
        </w:rPr>
        <w:t xml:space="preserve">.  More information about </w:t>
      </w:r>
      <w:hyperlink r:id="rId8" w:history="1">
        <w:r w:rsidRPr="00E36A08">
          <w:rPr>
            <w:rStyle w:val="Hyperlink"/>
            <w:bCs/>
          </w:rPr>
          <w:t>this case</w:t>
        </w:r>
      </w:hyperlink>
      <w:r>
        <w:rPr>
          <w:bCs/>
        </w:rPr>
        <w:t xml:space="preserve"> can be found on the OCR website.</w:t>
      </w:r>
    </w:p>
    <w:p w14:paraId="12F9AC6C" w14:textId="7E42EEBF" w:rsidR="00E36A08" w:rsidRDefault="001B21F9" w:rsidP="00545661">
      <w:pPr>
        <w:pStyle w:val="ListParagraph"/>
        <w:numPr>
          <w:ilvl w:val="0"/>
          <w:numId w:val="2"/>
        </w:numPr>
        <w:spacing w:before="100" w:after="200" w:line="276" w:lineRule="auto"/>
      </w:pPr>
      <w:r w:rsidRPr="00680ED5">
        <w:rPr>
          <w:rFonts w:ascii="Calibri" w:eastAsia="Times New Roman" w:hAnsi="Calibri" w:cs="Calibri"/>
          <w:b/>
          <w:bCs/>
          <w:color w:val="000000"/>
        </w:rPr>
        <w:t>National Institute of Standards and Technology (NIST) Released Draft Privacy Framework for Comments</w:t>
      </w:r>
      <w:r w:rsidRPr="00680ED5">
        <w:rPr>
          <w:rFonts w:ascii="Calibri" w:eastAsia="Times New Roman" w:hAnsi="Calibri" w:cs="Calibri"/>
          <w:color w:val="000000"/>
        </w:rPr>
        <w:t xml:space="preserve"> – NIST is accepting comments on a preliminary draft of Privacy Framework through October 24</w:t>
      </w:r>
      <w:r w:rsidRPr="00680ED5">
        <w:rPr>
          <w:rFonts w:ascii="Calibri" w:eastAsia="Times New Roman" w:hAnsi="Calibri" w:cs="Calibri"/>
          <w:color w:val="000000"/>
          <w:vertAlign w:val="superscript"/>
        </w:rPr>
        <w:t>th</w:t>
      </w:r>
      <w:r w:rsidRPr="00680ED5">
        <w:rPr>
          <w:rFonts w:ascii="Calibri" w:eastAsia="Times New Roman" w:hAnsi="Calibri" w:cs="Calibri"/>
          <w:color w:val="000000"/>
        </w:rPr>
        <w:t xml:space="preserve">.  The </w:t>
      </w:r>
      <w:hyperlink r:id="rId9" w:history="1">
        <w:r w:rsidRPr="00680ED5">
          <w:rPr>
            <w:rStyle w:val="Hyperlink"/>
            <w:rFonts w:ascii="Calibri" w:eastAsia="Times New Roman" w:hAnsi="Calibri" w:cs="Calibri"/>
          </w:rPr>
          <w:t>draft framework</w:t>
        </w:r>
      </w:hyperlink>
      <w:r w:rsidRPr="00680ED5">
        <w:rPr>
          <w:rFonts w:ascii="Calibri" w:eastAsia="Times New Roman" w:hAnsi="Calibri" w:cs="Calibri"/>
          <w:color w:val="000000"/>
        </w:rPr>
        <w:t xml:space="preserve"> can be found on the NIST website.</w:t>
      </w:r>
    </w:p>
    <w:p w14:paraId="4569D03D" w14:textId="77777777" w:rsidR="00680ED5" w:rsidRDefault="00680ED5">
      <w:pPr>
        <w:rPr>
          <w:b/>
          <w:i/>
          <w:iCs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F33F2A" w14:textId="68CE1789"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Other News</w:t>
      </w:r>
    </w:p>
    <w:p w14:paraId="14630EE1" w14:textId="3CB66928" w:rsidR="00D15556" w:rsidRPr="00D15556" w:rsidRDefault="005F48D4" w:rsidP="00A2460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 xml:space="preserve">The Importance of HIPAA Risk Assessments – </w:t>
      </w:r>
      <w:r>
        <w:rPr>
          <w:bCs/>
        </w:rPr>
        <w:t xml:space="preserve">a consistent finding of OCR investigations is insufficient risk assessments.  This article provides some tips and insights on the creation of the HIPAA risk assessment.  The </w:t>
      </w:r>
      <w:hyperlink r:id="rId10" w:history="1">
        <w:r w:rsidRPr="00D15556">
          <w:rPr>
            <w:rStyle w:val="Hyperlink"/>
            <w:bCs/>
          </w:rPr>
          <w:t>full article</w:t>
        </w:r>
      </w:hyperlink>
      <w:r>
        <w:rPr>
          <w:bCs/>
        </w:rPr>
        <w:t xml:space="preserve"> can be found on the </w:t>
      </w:r>
      <w:proofErr w:type="spellStart"/>
      <w:r>
        <w:rPr>
          <w:bCs/>
        </w:rPr>
        <w:t>Med</w:t>
      </w:r>
      <w:r w:rsidR="00D15556">
        <w:rPr>
          <w:bCs/>
        </w:rPr>
        <w:t>City</w:t>
      </w:r>
      <w:proofErr w:type="spellEnd"/>
      <w:r w:rsidR="00D15556">
        <w:rPr>
          <w:bCs/>
        </w:rPr>
        <w:t xml:space="preserve"> News website.</w:t>
      </w:r>
    </w:p>
    <w:p w14:paraId="0A8BECCB" w14:textId="2F573790" w:rsidR="005F48D4" w:rsidRPr="00D15556" w:rsidRDefault="00D15556" w:rsidP="00A2460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 xml:space="preserve">Recent Survey Finds IT is Slow to Change or Block Access Rights – </w:t>
      </w:r>
      <w:r>
        <w:rPr>
          <w:bCs/>
        </w:rPr>
        <w:t xml:space="preserve">maintenance of user access rights is a critical to ensuring the security and privacy of PHI.  This article points out the importance of policies and procedures to cover how access rights are reviewed, maintained and enforced.  The </w:t>
      </w:r>
      <w:hyperlink r:id="rId11" w:history="1">
        <w:r w:rsidRPr="00D15556">
          <w:rPr>
            <w:rStyle w:val="Hyperlink"/>
            <w:bCs/>
          </w:rPr>
          <w:t>full article</w:t>
        </w:r>
      </w:hyperlink>
      <w:r>
        <w:rPr>
          <w:bCs/>
        </w:rPr>
        <w:t xml:space="preserve"> can be found on the HIPAA Journal website.</w:t>
      </w:r>
    </w:p>
    <w:p w14:paraId="3FFB584B" w14:textId="1E81D872" w:rsidR="00D15556" w:rsidRDefault="00D15556" w:rsidP="00A2460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Study Reveals PHI Most Commonly Exposed in Data Breaches –</w:t>
      </w:r>
      <w:r>
        <w:rPr>
          <w:rFonts w:ascii="Calibri" w:eastAsia="Times New Roman" w:hAnsi="Calibri" w:cs="Calibri"/>
          <w:color w:val="000000"/>
        </w:rPr>
        <w:t xml:space="preserve"> th</w:t>
      </w:r>
      <w:r w:rsidR="005B47E6">
        <w:rPr>
          <w:rFonts w:ascii="Calibri" w:eastAsia="Times New Roman" w:hAnsi="Calibri" w:cs="Calibri"/>
          <w:color w:val="000000"/>
        </w:rPr>
        <w:t>is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 study confirms that approximately 169 million people have had health information compromised in </w:t>
      </w:r>
      <w:r w:rsidR="001B21F9">
        <w:rPr>
          <w:rFonts w:ascii="Calibri" w:eastAsia="Times New Roman" w:hAnsi="Calibri" w:cs="Calibri"/>
          <w:color w:val="000000"/>
        </w:rPr>
        <w:t xml:space="preserve">over 1,400 data breaches.  The article provides insight on the specific types of data exposed.  The </w:t>
      </w:r>
      <w:hyperlink r:id="rId12" w:history="1">
        <w:r w:rsidR="001B21F9" w:rsidRPr="001B21F9">
          <w:rPr>
            <w:rStyle w:val="Hyperlink"/>
            <w:rFonts w:ascii="Calibri" w:eastAsia="Times New Roman" w:hAnsi="Calibri" w:cs="Calibri"/>
          </w:rPr>
          <w:t>full article</w:t>
        </w:r>
      </w:hyperlink>
      <w:r w:rsidR="001B21F9">
        <w:rPr>
          <w:rFonts w:ascii="Calibri" w:eastAsia="Times New Roman" w:hAnsi="Calibri" w:cs="Calibri"/>
          <w:color w:val="000000"/>
        </w:rPr>
        <w:t xml:space="preserve"> can be found on the HIPAA Journal website.</w:t>
      </w:r>
    </w:p>
    <w:p w14:paraId="11C42B1F" w14:textId="62C8B6A8" w:rsidR="001B21F9" w:rsidRDefault="001B21F9" w:rsidP="00A2460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July Ranked as Highest in History for Health Care Data Breaches –</w:t>
      </w:r>
      <w:r>
        <w:rPr>
          <w:rFonts w:ascii="Calibri" w:eastAsia="Times New Roman" w:hAnsi="Calibri" w:cs="Calibri"/>
          <w:color w:val="000000"/>
        </w:rPr>
        <w:t xml:space="preserve"> July stood out with 50 breaches impacting more tha</w:t>
      </w:r>
      <w:r w:rsidR="00680ED5">
        <w:rPr>
          <w:rFonts w:ascii="Calibri" w:eastAsia="Times New Roman" w:hAnsi="Calibri" w:cs="Calibri"/>
          <w:color w:val="000000"/>
        </w:rPr>
        <w:t xml:space="preserve">n 35 million individuals’ PHI.  The </w:t>
      </w:r>
      <w:hyperlink r:id="rId13" w:history="1">
        <w:r w:rsidR="00680ED5" w:rsidRPr="00680ED5">
          <w:rPr>
            <w:rStyle w:val="Hyperlink"/>
            <w:rFonts w:ascii="Calibri" w:eastAsia="Times New Roman" w:hAnsi="Calibri" w:cs="Calibri"/>
          </w:rPr>
          <w:t>full article</w:t>
        </w:r>
      </w:hyperlink>
      <w:r w:rsidR="00680ED5">
        <w:rPr>
          <w:rFonts w:ascii="Calibri" w:eastAsia="Times New Roman" w:hAnsi="Calibri" w:cs="Calibri"/>
          <w:color w:val="000000"/>
        </w:rPr>
        <w:t xml:space="preserve"> can be found on the National Law Review website.</w:t>
      </w:r>
    </w:p>
    <w:p w14:paraId="49143488" w14:textId="373ECC68" w:rsidR="00680ED5" w:rsidRPr="00CD50D0" w:rsidRDefault="00680ED5" w:rsidP="00A2460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Business Associates’ Use of Information for their own Purposes –</w:t>
      </w:r>
      <w:r>
        <w:rPr>
          <w:rFonts w:ascii="Calibri" w:eastAsia="Times New Roman" w:hAnsi="Calibri" w:cs="Calibri"/>
          <w:color w:val="000000"/>
        </w:rPr>
        <w:t xml:space="preserve"> this article is a good reminder about the use and disclosure of PHI by business associations (BA) as well as the importance of oversight by covered entities to ensure BAs are in compliance.  The </w:t>
      </w:r>
      <w:hyperlink r:id="rId14" w:history="1">
        <w:r w:rsidRPr="00680ED5">
          <w:rPr>
            <w:rStyle w:val="Hyperlink"/>
            <w:rFonts w:ascii="Calibri" w:eastAsia="Times New Roman" w:hAnsi="Calibri" w:cs="Calibri"/>
          </w:rPr>
          <w:t>full article</w:t>
        </w:r>
      </w:hyperlink>
      <w:r>
        <w:rPr>
          <w:rFonts w:ascii="Calibri" w:eastAsia="Times New Roman" w:hAnsi="Calibri" w:cs="Calibri"/>
          <w:color w:val="000000"/>
        </w:rPr>
        <w:t xml:space="preserve"> can be found on the Holland and Hart website.</w:t>
      </w:r>
    </w:p>
    <w:p w14:paraId="1C6498B5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5A430E27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5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5982C30F" w14:textId="77777777" w:rsidR="00C44FB1" w:rsidRDefault="00C44FB1" w:rsidP="007E3477">
      <w:pPr>
        <w:pStyle w:val="ListParagraph"/>
        <w:rPr>
          <w:b/>
        </w:rPr>
      </w:pPr>
    </w:p>
    <w:p w14:paraId="08820EF0" w14:textId="77777777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can be found on the </w:t>
      </w:r>
      <w:hyperlink r:id="rId16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45DAB"/>
    <w:rsid w:val="000561B1"/>
    <w:rsid w:val="00090FFE"/>
    <w:rsid w:val="000921C8"/>
    <w:rsid w:val="0009524F"/>
    <w:rsid w:val="000A6F6C"/>
    <w:rsid w:val="000F229E"/>
    <w:rsid w:val="00156352"/>
    <w:rsid w:val="00171B56"/>
    <w:rsid w:val="0019001E"/>
    <w:rsid w:val="001B21F9"/>
    <w:rsid w:val="001D703E"/>
    <w:rsid w:val="00202A5F"/>
    <w:rsid w:val="002255A1"/>
    <w:rsid w:val="00225BF6"/>
    <w:rsid w:val="00231C03"/>
    <w:rsid w:val="0024118D"/>
    <w:rsid w:val="002A450D"/>
    <w:rsid w:val="002A76E3"/>
    <w:rsid w:val="003143ED"/>
    <w:rsid w:val="003233D8"/>
    <w:rsid w:val="0032557B"/>
    <w:rsid w:val="003D1513"/>
    <w:rsid w:val="00414855"/>
    <w:rsid w:val="004321D4"/>
    <w:rsid w:val="0048599D"/>
    <w:rsid w:val="0048652D"/>
    <w:rsid w:val="0056290E"/>
    <w:rsid w:val="005B47E6"/>
    <w:rsid w:val="005F48D4"/>
    <w:rsid w:val="006118CF"/>
    <w:rsid w:val="0061338D"/>
    <w:rsid w:val="00614626"/>
    <w:rsid w:val="006405BA"/>
    <w:rsid w:val="00647CE4"/>
    <w:rsid w:val="006507CA"/>
    <w:rsid w:val="00651A88"/>
    <w:rsid w:val="00680ED5"/>
    <w:rsid w:val="006A7280"/>
    <w:rsid w:val="006C7AD4"/>
    <w:rsid w:val="006D6E34"/>
    <w:rsid w:val="006F3501"/>
    <w:rsid w:val="00772DC1"/>
    <w:rsid w:val="007928F1"/>
    <w:rsid w:val="007C2D7E"/>
    <w:rsid w:val="007D1D19"/>
    <w:rsid w:val="007E3477"/>
    <w:rsid w:val="00806BC6"/>
    <w:rsid w:val="00830D26"/>
    <w:rsid w:val="008A0CFE"/>
    <w:rsid w:val="008C46C6"/>
    <w:rsid w:val="008F248D"/>
    <w:rsid w:val="008F534E"/>
    <w:rsid w:val="008F73B8"/>
    <w:rsid w:val="009138F7"/>
    <w:rsid w:val="009217BF"/>
    <w:rsid w:val="0095056B"/>
    <w:rsid w:val="00972C74"/>
    <w:rsid w:val="009A2EA4"/>
    <w:rsid w:val="009A5093"/>
    <w:rsid w:val="009C13FB"/>
    <w:rsid w:val="009F10B6"/>
    <w:rsid w:val="009F3148"/>
    <w:rsid w:val="009F48B5"/>
    <w:rsid w:val="00A24604"/>
    <w:rsid w:val="00AC562C"/>
    <w:rsid w:val="00AD66C3"/>
    <w:rsid w:val="00B316F2"/>
    <w:rsid w:val="00B40745"/>
    <w:rsid w:val="00B527CE"/>
    <w:rsid w:val="00B54602"/>
    <w:rsid w:val="00B7148B"/>
    <w:rsid w:val="00B87B35"/>
    <w:rsid w:val="00B87FC4"/>
    <w:rsid w:val="00B940FE"/>
    <w:rsid w:val="00BB6EFB"/>
    <w:rsid w:val="00C00A59"/>
    <w:rsid w:val="00C1097B"/>
    <w:rsid w:val="00C41A12"/>
    <w:rsid w:val="00C44FB1"/>
    <w:rsid w:val="00C9217C"/>
    <w:rsid w:val="00CA5498"/>
    <w:rsid w:val="00CC4E65"/>
    <w:rsid w:val="00CD50D0"/>
    <w:rsid w:val="00D1252A"/>
    <w:rsid w:val="00D15556"/>
    <w:rsid w:val="00D50140"/>
    <w:rsid w:val="00D76A8F"/>
    <w:rsid w:val="00D80A8C"/>
    <w:rsid w:val="00DB4FCF"/>
    <w:rsid w:val="00E14CC3"/>
    <w:rsid w:val="00E2528D"/>
    <w:rsid w:val="00E36738"/>
    <w:rsid w:val="00E36A08"/>
    <w:rsid w:val="00E411FE"/>
    <w:rsid w:val="00E4177E"/>
    <w:rsid w:val="00E430BA"/>
    <w:rsid w:val="00E7595A"/>
    <w:rsid w:val="00E85281"/>
    <w:rsid w:val="00EC2BFB"/>
    <w:rsid w:val="00EC6303"/>
    <w:rsid w:val="00EE0942"/>
    <w:rsid w:val="00F615F9"/>
    <w:rsid w:val="00F819D5"/>
    <w:rsid w:val="00FB7CC9"/>
    <w:rsid w:val="00FD006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0966EE21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about/news/2019/10/02/dental-practice-pays-10000-settle-social-media-disclosures-of-patients-phi.html" TargetMode="External"/><Relationship Id="rId13" Type="http://schemas.openxmlformats.org/officeDocument/2006/relationships/hyperlink" Target="https://www.natlawreview.com/article/july-2019-ranks-highest-history-health-care-data-breach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hs.ca.gov/ohii/shipm/statewide-health-information-policy-manual-shipm-documents-version-6-2019/" TargetMode="External"/><Relationship Id="rId12" Type="http://schemas.openxmlformats.org/officeDocument/2006/relationships/hyperlink" Target="https://www.hipaajournal.com/protected-health-information-commonly-exposed-healthcare-data-breach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hs.ca.gov/ohii/about-calohii/calohii-communications-archiv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hipaajournal.com/it-departments-slow-to-modify-and-block-access-rights-when-employees-change-roles-or-leave-the-company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HIComments@ohi.ca.gov" TargetMode="External"/><Relationship Id="rId10" Type="http://schemas.openxmlformats.org/officeDocument/2006/relationships/hyperlink" Target="https://medcitynews.com/2019/09/the-importance-of-hipaa-risk-assess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st.gov/privacy-framework" TargetMode="External"/><Relationship Id="rId14" Type="http://schemas.openxmlformats.org/officeDocument/2006/relationships/hyperlink" Target="https://www.hollandhart.com/business-associates-use-of-information-for-their-own-purpo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2</cp:revision>
  <cp:lastPrinted>2019-08-12T17:09:00Z</cp:lastPrinted>
  <dcterms:created xsi:type="dcterms:W3CDTF">2019-10-15T17:48:00Z</dcterms:created>
  <dcterms:modified xsi:type="dcterms:W3CDTF">2019-10-15T17:48:00Z</dcterms:modified>
</cp:coreProperties>
</file>