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E3477" w:rsidRDefault="007E3477" w:rsidP="008F248D">
      <w:pPr>
        <w:ind w:left="-810"/>
      </w:pPr>
    </w:p>
    <w:p w:rsidR="007E3477" w:rsidRPr="007E3477" w:rsidRDefault="009138F7" w:rsidP="007E3477">
      <w:pPr>
        <w:jc w:val="right"/>
        <w:rPr>
          <w:b/>
        </w:rPr>
      </w:pPr>
      <w:r>
        <w:rPr>
          <w:b/>
        </w:rPr>
        <w:t xml:space="preserve">May </w:t>
      </w:r>
      <w:r w:rsidR="007E3477" w:rsidRPr="007E3477">
        <w:rPr>
          <w:b/>
        </w:rPr>
        <w:t>2019</w:t>
      </w:r>
    </w:p>
    <w:p w:rsidR="000F229E" w:rsidRPr="00C943D5" w:rsidRDefault="0095056B" w:rsidP="00E85281">
      <w:pPr>
        <w:spacing w:before="100" w:after="200" w:line="276" w:lineRule="auto"/>
      </w:pPr>
      <w:r>
        <w:rPr>
          <w:b/>
          <w:i/>
        </w:rPr>
        <w:t xml:space="preserve">In this month’s communication, </w:t>
      </w:r>
      <w:r w:rsidR="00AC562C">
        <w:t>the California Office of Health Information Integrity (CalOHII)</w:t>
      </w:r>
      <w:r w:rsidR="00E85281">
        <w:t xml:space="preserve"> </w:t>
      </w:r>
      <w:r>
        <w:t xml:space="preserve">provides updates on CalOHII activities, news from </w:t>
      </w:r>
      <w:r w:rsidR="009F3148">
        <w:t>the federal Health and Human Services (</w:t>
      </w:r>
      <w:r>
        <w:t>HHS</w:t>
      </w:r>
      <w:r w:rsidR="009F3148">
        <w:t>)</w:t>
      </w:r>
      <w:r>
        <w:t xml:space="preserve"> as well as links to various news articles related to the Health Insurance Portability and Accountability Act (HIPAA)</w:t>
      </w:r>
      <w:r w:rsidR="008F73B8">
        <w:t xml:space="preserve"> and healthcare industry</w:t>
      </w:r>
      <w:r w:rsidR="00E85281">
        <w:t>.</w:t>
      </w:r>
    </w:p>
    <w:p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:rsidR="009138F7" w:rsidRPr="009138F7" w:rsidRDefault="009138F7" w:rsidP="00AD66C3">
      <w:pPr>
        <w:pStyle w:val="ListParagraph"/>
        <w:numPr>
          <w:ilvl w:val="0"/>
          <w:numId w:val="2"/>
        </w:numPr>
        <w:spacing w:before="100" w:after="200" w:line="276" w:lineRule="auto"/>
      </w:pPr>
      <w:r w:rsidRPr="009138F7">
        <w:rPr>
          <w:b/>
        </w:rPr>
        <w:t>New Chief Counsel</w:t>
      </w:r>
      <w:r>
        <w:t xml:space="preserve"> - CalOHII welcomes back Jennifer Schwartz as our Chief Counsel.  Jennifer returns to CalOHII after a few years at the Department of State Hospitals</w:t>
      </w:r>
      <w:r w:rsidR="00972C74">
        <w:t xml:space="preserve"> where she was their Chief Privacy Officer</w:t>
      </w:r>
      <w:r>
        <w:t xml:space="preserve">.  </w:t>
      </w:r>
    </w:p>
    <w:p w:rsidR="00AD66C3" w:rsidRDefault="00AD66C3" w:rsidP="00AD66C3">
      <w:pPr>
        <w:pStyle w:val="ListParagraph"/>
        <w:numPr>
          <w:ilvl w:val="0"/>
          <w:numId w:val="2"/>
        </w:numPr>
        <w:spacing w:before="100" w:after="200" w:line="276" w:lineRule="auto"/>
      </w:pPr>
      <w:r w:rsidRPr="00C943D5">
        <w:rPr>
          <w:b/>
        </w:rPr>
        <w:t>SHIPM 2019 Update</w:t>
      </w:r>
      <w:r w:rsidRPr="00C943D5">
        <w:t xml:space="preserve"> – </w:t>
      </w:r>
      <w:r w:rsidR="009F48B5">
        <w:t xml:space="preserve">CalOHII </w:t>
      </w:r>
      <w:r w:rsidR="008F73B8">
        <w:t xml:space="preserve">is </w:t>
      </w:r>
      <w:r w:rsidR="009138F7">
        <w:t xml:space="preserve">finalizing updates to </w:t>
      </w:r>
      <w:r w:rsidR="008F73B8">
        <w:t>the</w:t>
      </w:r>
      <w:r w:rsidR="0095056B">
        <w:t xml:space="preserve"> </w:t>
      </w:r>
      <w:r w:rsidR="00AC562C">
        <w:t>Statewide Health Information Policy Manual</w:t>
      </w:r>
      <w:r w:rsidR="009F48B5">
        <w:t xml:space="preserve"> </w:t>
      </w:r>
      <w:r w:rsidR="00AC562C">
        <w:t>(</w:t>
      </w:r>
      <w:r w:rsidR="009F48B5" w:rsidRPr="009138F7">
        <w:t>SHIPM</w:t>
      </w:r>
      <w:r w:rsidR="00AC562C" w:rsidRPr="009138F7">
        <w:t>)</w:t>
      </w:r>
      <w:r w:rsidR="008F73B8" w:rsidRPr="009138F7">
        <w:t xml:space="preserve"> </w:t>
      </w:r>
      <w:r w:rsidR="0095056B">
        <w:t xml:space="preserve">– over 40 </w:t>
      </w:r>
      <w:r w:rsidR="0095056B" w:rsidRPr="009138F7">
        <w:t>policies</w:t>
      </w:r>
      <w:r w:rsidR="0095056B">
        <w:t xml:space="preserve"> and attachments have been updated</w:t>
      </w:r>
      <w:r w:rsidR="009F48B5">
        <w:t xml:space="preserve">. </w:t>
      </w:r>
      <w:r w:rsidR="0095056B">
        <w:t xml:space="preserve"> </w:t>
      </w:r>
      <w:r w:rsidRPr="00C943D5">
        <w:t xml:space="preserve">SHIPM </w:t>
      </w:r>
      <w:r w:rsidR="009F48B5">
        <w:t xml:space="preserve">2019 </w:t>
      </w:r>
      <w:r w:rsidRPr="00C943D5">
        <w:t>will be available</w:t>
      </w:r>
      <w:r w:rsidR="008F73B8">
        <w:t xml:space="preserve"> on our website</w:t>
      </w:r>
      <w:r w:rsidRPr="00C943D5">
        <w:t xml:space="preserve"> in early June</w:t>
      </w:r>
      <w:r w:rsidR="009138F7">
        <w:t xml:space="preserve"> – a communication will be sent to impacted departments when it is available</w:t>
      </w:r>
      <w:r w:rsidRPr="00C943D5">
        <w:t xml:space="preserve">. </w:t>
      </w:r>
    </w:p>
    <w:p w:rsidR="008A0CFE" w:rsidRDefault="008A0CFE" w:rsidP="008A0CFE">
      <w:pPr>
        <w:pStyle w:val="ListParagraph"/>
        <w:numPr>
          <w:ilvl w:val="0"/>
          <w:numId w:val="2"/>
        </w:numPr>
      </w:pPr>
      <w:r w:rsidRPr="008A0CFE">
        <w:rPr>
          <w:b/>
        </w:rPr>
        <w:t>Compliance Program</w:t>
      </w:r>
      <w:r>
        <w:t xml:space="preserve"> – CalOHII is monitoring three active Corrective Action Plans (CAPs) with previously reviewed state entities. CalOHII completed one request for technical assistance and one targeted compliance review.</w:t>
      </w:r>
    </w:p>
    <w:p w:rsidR="000A6F6C" w:rsidRPr="000A6F6C" w:rsidRDefault="000A6F6C" w:rsidP="00F615F9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 xml:space="preserve">State Legislation Review </w:t>
      </w:r>
      <w:r>
        <w:t xml:space="preserve">– CalOHII continues to review and track legislation related to the HIPAA and/or </w:t>
      </w:r>
      <w:r w:rsidR="008F73B8">
        <w:t xml:space="preserve">healthcare </w:t>
      </w:r>
      <w:r w:rsidR="008A0CFE">
        <w:t xml:space="preserve">data privacy.  We are </w:t>
      </w:r>
      <w:r>
        <w:t xml:space="preserve">tracking </w:t>
      </w:r>
      <w:r w:rsidR="008A0CFE">
        <w:t>25+</w:t>
      </w:r>
      <w:r>
        <w:t xml:space="preserve"> bills that could impact SHIPM</w:t>
      </w:r>
      <w:r w:rsidR="008F73B8">
        <w:t xml:space="preserve"> 2020</w:t>
      </w:r>
      <w:r>
        <w:t xml:space="preserve"> </w:t>
      </w:r>
      <w:r w:rsidR="00B940FE">
        <w:t>or our Compliance Review program</w:t>
      </w:r>
      <w:r>
        <w:t>.</w:t>
      </w:r>
    </w:p>
    <w:p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HHS News</w:t>
      </w:r>
    </w:p>
    <w:p w:rsidR="009F3148" w:rsidRDefault="00972C74" w:rsidP="00F615F9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7" w:history="1">
        <w:r w:rsidR="009F3148" w:rsidRPr="009138F7">
          <w:rPr>
            <w:rStyle w:val="Hyperlink"/>
            <w:b/>
          </w:rPr>
          <w:t>HH</w:t>
        </w:r>
        <w:r w:rsidR="009138F7" w:rsidRPr="009138F7">
          <w:rPr>
            <w:rStyle w:val="Hyperlink"/>
            <w:b/>
          </w:rPr>
          <w:t>S Announces Changes to Civil Monetary Penalties</w:t>
        </w:r>
      </w:hyperlink>
      <w:r w:rsidR="00C44FB1">
        <w:rPr>
          <w:b/>
        </w:rPr>
        <w:t xml:space="preserve"> </w:t>
      </w:r>
      <w:r w:rsidR="009F3148">
        <w:rPr>
          <w:b/>
        </w:rPr>
        <w:t xml:space="preserve">– </w:t>
      </w:r>
      <w:r w:rsidR="00C44FB1">
        <w:t>HHS has reduced the cumulative annual limit for three of the four categories.</w:t>
      </w:r>
    </w:p>
    <w:p w:rsidR="00F615F9" w:rsidRDefault="00972C74" w:rsidP="00F615F9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8" w:history="1">
        <w:r w:rsidR="00F615F9" w:rsidRPr="00F615F9">
          <w:rPr>
            <w:rStyle w:val="Hyperlink"/>
            <w:b/>
          </w:rPr>
          <w:t>O</w:t>
        </w:r>
        <w:r w:rsidR="00C1097B">
          <w:rPr>
            <w:rStyle w:val="Hyperlink"/>
            <w:b/>
          </w:rPr>
          <w:t>ffice for Civil Rights (O</w:t>
        </w:r>
        <w:r w:rsidR="00F615F9" w:rsidRPr="00F615F9">
          <w:rPr>
            <w:rStyle w:val="Hyperlink"/>
            <w:b/>
          </w:rPr>
          <w:t>CR</w:t>
        </w:r>
        <w:r w:rsidR="00C1097B">
          <w:rPr>
            <w:rStyle w:val="Hyperlink"/>
            <w:b/>
          </w:rPr>
          <w:t>)</w:t>
        </w:r>
        <w:r w:rsidR="00F615F9" w:rsidRPr="00F615F9">
          <w:rPr>
            <w:rStyle w:val="Hyperlink"/>
            <w:b/>
          </w:rPr>
          <w:t xml:space="preserve"> weighs in on </w:t>
        </w:r>
        <w:r w:rsidR="00C1097B">
          <w:rPr>
            <w:rStyle w:val="Hyperlink"/>
            <w:b/>
          </w:rPr>
          <w:t>application programming interface (</w:t>
        </w:r>
        <w:r w:rsidR="00F615F9" w:rsidRPr="00F615F9">
          <w:rPr>
            <w:rStyle w:val="Hyperlink"/>
            <w:b/>
          </w:rPr>
          <w:t>API</w:t>
        </w:r>
        <w:r w:rsidR="00C1097B">
          <w:rPr>
            <w:rStyle w:val="Hyperlink"/>
            <w:b/>
          </w:rPr>
          <w:t>)</w:t>
        </w:r>
        <w:r w:rsidR="00F615F9" w:rsidRPr="00F615F9">
          <w:rPr>
            <w:rStyle w:val="Hyperlink"/>
            <w:b/>
          </w:rPr>
          <w:t xml:space="preserve"> development</w:t>
        </w:r>
      </w:hyperlink>
      <w:r w:rsidR="00F615F9">
        <w:t xml:space="preserve"> with </w:t>
      </w:r>
      <w:r w:rsidR="00C1097B">
        <w:t xml:space="preserve">five </w:t>
      </w:r>
      <w:r w:rsidR="00F615F9">
        <w:t>new frequently asked questions (FAQs) regarding whether data used by medical apps is HIPAA covered.</w:t>
      </w:r>
    </w:p>
    <w:p w:rsidR="00972C74" w:rsidRDefault="00972C74">
      <w:pPr>
        <w:rPr>
          <w:b/>
        </w:rPr>
      </w:pPr>
      <w:r>
        <w:rPr>
          <w:b/>
        </w:rPr>
        <w:br w:type="page"/>
      </w:r>
    </w:p>
    <w:p w:rsidR="00C1097B" w:rsidRPr="00C1097B" w:rsidRDefault="00C1097B" w:rsidP="00C1097B">
      <w:pPr>
        <w:pStyle w:val="ListParagraph"/>
        <w:numPr>
          <w:ilvl w:val="0"/>
          <w:numId w:val="2"/>
        </w:numPr>
        <w:spacing w:before="100" w:after="200" w:line="276" w:lineRule="auto"/>
        <w:rPr>
          <w:b/>
        </w:rPr>
      </w:pPr>
      <w:r w:rsidRPr="00C1097B">
        <w:rPr>
          <w:b/>
        </w:rPr>
        <w:lastRenderedPageBreak/>
        <w:t>Federal Notice of Proposed Rulemaking (NPRM) Update -</w:t>
      </w:r>
    </w:p>
    <w:p w:rsidR="00C1097B" w:rsidRPr="00C1097B" w:rsidRDefault="00972C74" w:rsidP="00C1097B">
      <w:pPr>
        <w:pStyle w:val="ListParagraph"/>
        <w:numPr>
          <w:ilvl w:val="1"/>
          <w:numId w:val="2"/>
        </w:numPr>
        <w:spacing w:before="100" w:after="200" w:line="276" w:lineRule="auto"/>
      </w:pPr>
      <w:hyperlink r:id="rId9" w:history="1">
        <w:r w:rsidR="00C1097B" w:rsidRPr="00C1097B">
          <w:rPr>
            <w:rStyle w:val="Hyperlink"/>
          </w:rPr>
          <w:t>Centers for Medicare and Medicaid Systems (CMS) and Office of the National Coordinator for Health Information Technology (ONC) have extended the comment period (to June 3</w:t>
        </w:r>
        <w:r w:rsidR="00C1097B" w:rsidRPr="00C1097B">
          <w:rPr>
            <w:rStyle w:val="Hyperlink"/>
            <w:vertAlign w:val="superscript"/>
          </w:rPr>
          <w:t>rd</w:t>
        </w:r>
        <w:r w:rsidR="00C1097B" w:rsidRPr="00C1097B">
          <w:rPr>
            <w:rStyle w:val="Hyperlink"/>
          </w:rPr>
          <w:t>)</w:t>
        </w:r>
      </w:hyperlink>
      <w:r w:rsidR="00C1097B">
        <w:t xml:space="preserve"> for the interoperability and other 21</w:t>
      </w:r>
      <w:r w:rsidR="00C1097B" w:rsidRPr="00C1097B">
        <w:rPr>
          <w:vertAlign w:val="superscript"/>
        </w:rPr>
        <w:t>st</w:t>
      </w:r>
      <w:r w:rsidR="00C1097B">
        <w:t xml:space="preserve"> Century Cures Act items.</w:t>
      </w:r>
      <w:r>
        <w:t xml:space="preserve">  Comments on this NPRM are being coordinated by the California Health and Human Services Agency Information Officer (AIO) office.  For more information, email </w:t>
      </w:r>
      <w:hyperlink r:id="rId10" w:history="1">
        <w:r w:rsidRPr="00E71C9C">
          <w:rPr>
            <w:rStyle w:val="Hyperlink"/>
          </w:rPr>
          <w:t>Colin.Stevens@chhsaio.ca.gov</w:t>
        </w:r>
      </w:hyperlink>
      <w:r>
        <w:t xml:space="preserve">. </w:t>
      </w:r>
    </w:p>
    <w:p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Other News</w:t>
      </w:r>
    </w:p>
    <w:p w:rsidR="00D1252A" w:rsidRDefault="00972C74" w:rsidP="00D1252A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1" w:history="1">
        <w:r w:rsidR="00D1252A" w:rsidRPr="00F615F9">
          <w:rPr>
            <w:rStyle w:val="Hyperlink"/>
            <w:b/>
          </w:rPr>
          <w:t>Amazon Web Services (AWS) Chief Technology Officer Allays Fears about Cloud Security…</w:t>
        </w:r>
      </w:hyperlink>
      <w:r w:rsidR="00D1252A" w:rsidRPr="00F615F9">
        <w:rPr>
          <w:b/>
        </w:rPr>
        <w:t xml:space="preserve"> </w:t>
      </w:r>
      <w:r w:rsidR="00D1252A">
        <w:t xml:space="preserve">– the biggest takeaway from this article is that all users of AWS cloud services should “encrypt everything” that is stored on AWS.  </w:t>
      </w:r>
      <w:r w:rsidR="00F615F9">
        <w:t xml:space="preserve">For </w:t>
      </w:r>
      <w:r w:rsidR="00FB7CC9">
        <w:t xml:space="preserve">departments that are </w:t>
      </w:r>
      <w:r w:rsidR="00F615F9">
        <w:t>HIPAA covered entities and</w:t>
      </w:r>
      <w:r w:rsidR="00FB7CC9">
        <w:t>/or</w:t>
      </w:r>
      <w:r w:rsidR="00F615F9">
        <w:t xml:space="preserve"> business associations using cloud services</w:t>
      </w:r>
      <w:r w:rsidR="00FB7CC9">
        <w:t xml:space="preserve"> (including those offered by the Department of Technology)</w:t>
      </w:r>
      <w:r w:rsidR="00F615F9">
        <w:t>, the article points out that “by encrypting data, companies meet the requirements of…HIPAA, and other federal and state regulations.”</w:t>
      </w:r>
    </w:p>
    <w:p w:rsidR="00F615F9" w:rsidRDefault="00972C74" w:rsidP="00C1097B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2" w:history="1">
        <w:r w:rsidR="00F615F9" w:rsidRPr="00FB7CC9">
          <w:rPr>
            <w:rStyle w:val="Hyperlink"/>
            <w:b/>
          </w:rPr>
          <w:t>Data security incident response analysis report</w:t>
        </w:r>
      </w:hyperlink>
      <w:r w:rsidR="00F615F9">
        <w:t xml:space="preserve"> provides interesting insight into data breaches – some highlights are:</w:t>
      </w:r>
    </w:p>
    <w:p w:rsidR="00C1097B" w:rsidRDefault="00F615F9" w:rsidP="00C1097B">
      <w:pPr>
        <w:pStyle w:val="ListParagraph"/>
        <w:numPr>
          <w:ilvl w:val="1"/>
          <w:numId w:val="2"/>
        </w:numPr>
        <w:spacing w:before="100" w:after="0" w:line="240" w:lineRule="auto"/>
        <w:contextualSpacing w:val="0"/>
      </w:pPr>
      <w:r>
        <w:t>Office 365 is the most common method for phishing</w:t>
      </w:r>
      <w:r w:rsidR="00C1097B">
        <w:t xml:space="preserve"> </w:t>
      </w:r>
    </w:p>
    <w:p w:rsidR="00F615F9" w:rsidRDefault="00972C74" w:rsidP="00FB7CC9">
      <w:pPr>
        <w:pStyle w:val="ListParagraph"/>
        <w:numPr>
          <w:ilvl w:val="2"/>
          <w:numId w:val="2"/>
        </w:numPr>
        <w:spacing w:before="100" w:after="200" w:line="276" w:lineRule="auto"/>
      </w:pPr>
      <w:hyperlink r:id="rId13" w:anchor="page=1" w:history="1">
        <w:r w:rsidR="00F615F9" w:rsidRPr="00F615F9">
          <w:rPr>
            <w:rStyle w:val="Hyperlink"/>
          </w:rPr>
          <w:t>In a related article</w:t>
        </w:r>
      </w:hyperlink>
      <w:r w:rsidR="00F615F9">
        <w:t xml:space="preserve"> it points out that in 2018 Microsoft limited the available logs that help identify what attackers accessed/viewed, making it more difficult to pin down the extent of the data breach.  However, the article provides some insights on how this risk can be mitigated.</w:t>
      </w:r>
    </w:p>
    <w:p w:rsidR="00F615F9" w:rsidRDefault="00F615F9" w:rsidP="00C1097B">
      <w:pPr>
        <w:pStyle w:val="ListParagraph"/>
        <w:numPr>
          <w:ilvl w:val="1"/>
          <w:numId w:val="2"/>
        </w:numPr>
        <w:spacing w:before="100" w:after="200" w:line="276" w:lineRule="auto"/>
      </w:pPr>
      <w:r>
        <w:t>Phishing is the most common cause of data breach (at 37%)</w:t>
      </w:r>
    </w:p>
    <w:p w:rsidR="00F615F9" w:rsidRDefault="00F615F9" w:rsidP="00C1097B">
      <w:pPr>
        <w:pStyle w:val="ListParagraph"/>
        <w:numPr>
          <w:ilvl w:val="1"/>
          <w:numId w:val="2"/>
        </w:numPr>
        <w:spacing w:before="100" w:after="200" w:line="276" w:lineRule="auto"/>
      </w:pPr>
      <w:r>
        <w:t xml:space="preserve">Average time to detect a breach is 66 days – for healthcare it took an average of 36 days to discover, 10 days to contain, 32 days to complete </w:t>
      </w:r>
      <w:r w:rsidR="00972C74">
        <w:t xml:space="preserve">an </w:t>
      </w:r>
      <w:r>
        <w:t>investigation</w:t>
      </w:r>
      <w:r w:rsidR="00972C74">
        <w:t>,</w:t>
      </w:r>
      <w:r>
        <w:t xml:space="preserve"> and 49 days to issue notifications</w:t>
      </w:r>
    </w:p>
    <w:p w:rsidR="00FB7CC9" w:rsidRDefault="00972C74" w:rsidP="00FB7CC9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4" w:history="1">
        <w:r w:rsidR="00FB7CC9" w:rsidRPr="00225BF6">
          <w:rPr>
            <w:rStyle w:val="Hyperlink"/>
            <w:b/>
          </w:rPr>
          <w:t>Developing an Incident Response Plan for a Cyber Attack</w:t>
        </w:r>
      </w:hyperlink>
      <w:r w:rsidR="00FB7CC9" w:rsidRPr="00225BF6">
        <w:rPr>
          <w:b/>
        </w:rPr>
        <w:t xml:space="preserve"> </w:t>
      </w:r>
      <w:r w:rsidR="00FB7CC9">
        <w:t xml:space="preserve">– </w:t>
      </w:r>
      <w:r w:rsidR="007928F1">
        <w:t xml:space="preserve">this article is </w:t>
      </w:r>
      <w:r w:rsidR="00FB7CC9">
        <w:t>a good reminder</w:t>
      </w:r>
      <w:r w:rsidR="007928F1">
        <w:t xml:space="preserve"> about the</w:t>
      </w:r>
      <w:r w:rsidR="00FB7CC9">
        <w:t xml:space="preserve"> areas to cover in </w:t>
      </w:r>
      <w:r w:rsidR="007928F1">
        <w:t>an</w:t>
      </w:r>
      <w:r w:rsidR="00FB7CC9">
        <w:t xml:space="preserve"> Incident Response Plan.</w:t>
      </w:r>
    </w:p>
    <w:p w:rsidR="00225BF6" w:rsidRDefault="00972C74" w:rsidP="00FB7CC9">
      <w:pPr>
        <w:pStyle w:val="ListParagraph"/>
        <w:numPr>
          <w:ilvl w:val="0"/>
          <w:numId w:val="2"/>
        </w:numPr>
        <w:spacing w:before="100" w:after="200" w:line="276" w:lineRule="auto"/>
      </w:pPr>
      <w:hyperlink r:id="rId15" w:history="1">
        <w:r w:rsidR="00225BF6" w:rsidRPr="00225BF6">
          <w:rPr>
            <w:rStyle w:val="Hyperlink"/>
            <w:b/>
          </w:rPr>
          <w:t>5 Questions Corporate Counsel Should Ask about Cyber Risk Assessments</w:t>
        </w:r>
      </w:hyperlink>
      <w:r w:rsidR="00225BF6" w:rsidRPr="00225BF6">
        <w:rPr>
          <w:b/>
        </w:rPr>
        <w:t xml:space="preserve"> </w:t>
      </w:r>
      <w:r w:rsidR="00225BF6">
        <w:t>– this article includes several thought-provoking questions pertinent to all departments.</w:t>
      </w:r>
    </w:p>
    <w:p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6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:rsidR="00C44FB1" w:rsidRDefault="00C44FB1" w:rsidP="007E3477">
      <w:pPr>
        <w:pStyle w:val="ListParagraph"/>
        <w:rPr>
          <w:b/>
        </w:rPr>
      </w:pPr>
    </w:p>
    <w:p w:rsidR="00C44FB1" w:rsidRPr="00225BF6" w:rsidRDefault="00225BF6" w:rsidP="007E3477">
      <w:pPr>
        <w:pStyle w:val="ListParagraph"/>
        <w:rPr>
          <w:i/>
        </w:rPr>
      </w:pPr>
      <w:bookmarkStart w:id="0" w:name="_GoBack"/>
      <w:bookmarkEnd w:id="0"/>
      <w:r>
        <w:rPr>
          <w:i/>
        </w:rPr>
        <w:t>Past month’s</w:t>
      </w:r>
      <w:r w:rsidR="00C44FB1" w:rsidRPr="00225BF6">
        <w:rPr>
          <w:i/>
        </w:rPr>
        <w:t xml:space="preserve"> CalOHII Communications can be found on the </w:t>
      </w:r>
      <w:hyperlink r:id="rId17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45DAB"/>
    <w:rsid w:val="000561B1"/>
    <w:rsid w:val="000921C8"/>
    <w:rsid w:val="0009524F"/>
    <w:rsid w:val="000A6F6C"/>
    <w:rsid w:val="000F229E"/>
    <w:rsid w:val="00156352"/>
    <w:rsid w:val="00171B56"/>
    <w:rsid w:val="001D703E"/>
    <w:rsid w:val="00225BF6"/>
    <w:rsid w:val="00231C03"/>
    <w:rsid w:val="003143ED"/>
    <w:rsid w:val="003D1513"/>
    <w:rsid w:val="00414855"/>
    <w:rsid w:val="0048599D"/>
    <w:rsid w:val="0056290E"/>
    <w:rsid w:val="00614626"/>
    <w:rsid w:val="006A7280"/>
    <w:rsid w:val="007928F1"/>
    <w:rsid w:val="007C2D7E"/>
    <w:rsid w:val="007D1D19"/>
    <w:rsid w:val="007E3477"/>
    <w:rsid w:val="008A0CFE"/>
    <w:rsid w:val="008F248D"/>
    <w:rsid w:val="008F73B8"/>
    <w:rsid w:val="009138F7"/>
    <w:rsid w:val="009217BF"/>
    <w:rsid w:val="0095056B"/>
    <w:rsid w:val="00972C74"/>
    <w:rsid w:val="009A2EA4"/>
    <w:rsid w:val="009A5093"/>
    <w:rsid w:val="009C13FB"/>
    <w:rsid w:val="009F3148"/>
    <w:rsid w:val="009F48B5"/>
    <w:rsid w:val="00AC562C"/>
    <w:rsid w:val="00AD66C3"/>
    <w:rsid w:val="00B40745"/>
    <w:rsid w:val="00B54602"/>
    <w:rsid w:val="00B87FC4"/>
    <w:rsid w:val="00B940FE"/>
    <w:rsid w:val="00BB6EFB"/>
    <w:rsid w:val="00C1097B"/>
    <w:rsid w:val="00C44FB1"/>
    <w:rsid w:val="00CA5498"/>
    <w:rsid w:val="00CC4E65"/>
    <w:rsid w:val="00D1252A"/>
    <w:rsid w:val="00D50140"/>
    <w:rsid w:val="00DB4FCF"/>
    <w:rsid w:val="00E14CC3"/>
    <w:rsid w:val="00E411FE"/>
    <w:rsid w:val="00E430BA"/>
    <w:rsid w:val="00E7595A"/>
    <w:rsid w:val="00E85281"/>
    <w:rsid w:val="00F615F9"/>
    <w:rsid w:val="00F819D5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  <o:colormenu v:ext="edit" fillcolor="none"/>
    </o:shapedefaults>
    <o:shapelayout v:ext="edit">
      <o:idmap v:ext="edit" data="1"/>
    </o:shapelayout>
  </w:shapeDefaults>
  <w:decimalSymbol w:val="."/>
  <w:listSeparator w:val=","/>
  <w14:docId w14:val="192635BF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dsupra.com/legalnews/new-hipaa-guidance-for-medical-app-57619/" TargetMode="External"/><Relationship Id="rId13" Type="http://schemas.openxmlformats.org/officeDocument/2006/relationships/hyperlink" Target="https://www.dataprivacymonitor.com/data-security-incident-response/deeper-dive-the-scourge-of-o365-incid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4-30/pdf/2019-08530.pdf" TargetMode="External"/><Relationship Id="rId12" Type="http://schemas.openxmlformats.org/officeDocument/2006/relationships/hyperlink" Target="https://www.hipaajournal.com/data-security-incident-response-analysis-published-by-bakerhostetler/" TargetMode="External"/><Relationship Id="rId17" Type="http://schemas.openxmlformats.org/officeDocument/2006/relationships/hyperlink" Target="https://www.chhs.ca.gov/ohii/about-calohii/calohii-communications-archive/" TargetMode="External"/><Relationship Id="rId2" Type="http://schemas.openxmlformats.org/officeDocument/2006/relationships/styles" Target="styles.xml"/><Relationship Id="rId16" Type="http://schemas.openxmlformats.org/officeDocument/2006/relationships/hyperlink" Target="mailto:OHIComments@ohi.ca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hipaajournal.com/aws-cto-cloud-security-alexa-voice-technolog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ccdocket.com/articles/cyber-risk-assessment-corporate-counsel.cfm" TargetMode="External"/><Relationship Id="rId10" Type="http://schemas.openxmlformats.org/officeDocument/2006/relationships/hyperlink" Target="mailto:Colin.Stevens@chhsaio.c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hs.gov/about/news/2019/04/19/hhs-extends-comment-period-for-proposed-rules-to-improve-the-interoperability-of-electronic-health-information.html" TargetMode="External"/><Relationship Id="rId14" Type="http://schemas.openxmlformats.org/officeDocument/2006/relationships/hyperlink" Target="https://www.procopio.com/articles/view/cyber-attack-incident-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6</cp:revision>
  <cp:lastPrinted>2019-04-04T14:26:00Z</cp:lastPrinted>
  <dcterms:created xsi:type="dcterms:W3CDTF">2019-05-01T16:09:00Z</dcterms:created>
  <dcterms:modified xsi:type="dcterms:W3CDTF">2019-05-06T17:44:00Z</dcterms:modified>
</cp:coreProperties>
</file>