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8D" w:rsidRDefault="00E411FE" w:rsidP="009A5093">
      <w:pPr>
        <w:ind w:left="-810"/>
      </w:pPr>
      <w:r w:rsidRPr="00E411FE">
        <w:rPr>
          <w:noProof/>
        </w:rPr>
        <mc:AlternateContent>
          <mc:Choice Requires="wpg">
            <w:drawing>
              <wp:inline distT="0" distB="0" distL="0" distR="0">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rsidR="007E3477" w:rsidRDefault="007E3477" w:rsidP="008F248D">
      <w:pPr>
        <w:ind w:left="-810"/>
      </w:pPr>
    </w:p>
    <w:p w:rsidR="007E3477" w:rsidRPr="007E3477" w:rsidRDefault="0095056B" w:rsidP="007E3477">
      <w:pPr>
        <w:jc w:val="right"/>
        <w:rPr>
          <w:b/>
        </w:rPr>
      </w:pPr>
      <w:bookmarkStart w:id="0" w:name="_GoBack"/>
      <w:bookmarkEnd w:id="0"/>
      <w:r>
        <w:rPr>
          <w:b/>
        </w:rPr>
        <w:t>April</w:t>
      </w:r>
      <w:r w:rsidR="007E3477" w:rsidRPr="007E3477">
        <w:rPr>
          <w:b/>
        </w:rPr>
        <w:t xml:space="preserve"> 2019</w:t>
      </w:r>
    </w:p>
    <w:p w:rsidR="000F229E" w:rsidRPr="00C943D5"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r w:rsidR="000F229E">
        <w:br/>
      </w:r>
    </w:p>
    <w:p w:rsidR="00AD66C3" w:rsidRPr="007E3477" w:rsidRDefault="00AD66C3" w:rsidP="00AD66C3">
      <w:pPr>
        <w:pStyle w:val="IntenseQuote"/>
        <w:rPr>
          <w:b/>
          <w:sz w:val="28"/>
          <w:szCs w:val="28"/>
        </w:rPr>
      </w:pPr>
      <w:r w:rsidRPr="007E3477">
        <w:rPr>
          <w:b/>
          <w:sz w:val="28"/>
          <w:szCs w:val="28"/>
        </w:rPr>
        <w:t>CalOHII Updates</w:t>
      </w:r>
    </w:p>
    <w:p w:rsidR="00AD66C3" w:rsidRDefault="00AD66C3" w:rsidP="00AD66C3">
      <w:pPr>
        <w:pStyle w:val="ListParagraph"/>
        <w:numPr>
          <w:ilvl w:val="0"/>
          <w:numId w:val="2"/>
        </w:numPr>
        <w:spacing w:before="100" w:after="200" w:line="276" w:lineRule="auto"/>
      </w:pPr>
      <w:r w:rsidRPr="00C943D5">
        <w:rPr>
          <w:b/>
        </w:rPr>
        <w:t>SHIPM 2019 Update</w:t>
      </w:r>
      <w:r w:rsidRPr="00C943D5">
        <w:t xml:space="preserve"> – </w:t>
      </w:r>
      <w:r w:rsidR="009F48B5">
        <w:t xml:space="preserve">CalOHII </w:t>
      </w:r>
      <w:r w:rsidR="008F73B8">
        <w:t xml:space="preserve">is preparing for the </w:t>
      </w:r>
      <w:r w:rsidR="0095056B">
        <w:t>review</w:t>
      </w:r>
      <w:r w:rsidR="008F73B8">
        <w:t xml:space="preserve"> cycles </w:t>
      </w:r>
      <w:r w:rsidR="0095056B">
        <w:t xml:space="preserve">of the </w:t>
      </w:r>
      <w:r w:rsidR="008F73B8">
        <w:t>recent updates to the</w:t>
      </w:r>
      <w:r w:rsidR="0095056B">
        <w:t xml:space="preserve"> </w:t>
      </w:r>
      <w:r w:rsidR="00AC562C">
        <w:t>Statewide Health Information Policy Manual</w:t>
      </w:r>
      <w:r w:rsidR="009F48B5">
        <w:t xml:space="preserve"> </w:t>
      </w:r>
      <w:r w:rsidR="00AC562C">
        <w:t>(</w:t>
      </w:r>
      <w:hyperlink r:id="rId7" w:history="1">
        <w:r w:rsidR="009F48B5" w:rsidRPr="00BB6EFB">
          <w:rPr>
            <w:rStyle w:val="Hyperlink"/>
          </w:rPr>
          <w:t>SHIPM</w:t>
        </w:r>
      </w:hyperlink>
      <w:r w:rsidR="00AC562C">
        <w:rPr>
          <w:rStyle w:val="Hyperlink"/>
        </w:rPr>
        <w:t>)</w:t>
      </w:r>
      <w:r w:rsidR="008F73B8" w:rsidRPr="008F73B8">
        <w:rPr>
          <w:rStyle w:val="Hyperlink"/>
          <w:u w:val="none"/>
        </w:rPr>
        <w:t xml:space="preserve"> </w:t>
      </w:r>
      <w:r w:rsidR="0095056B">
        <w:t>– over 40 policies and attachments have been updated</w:t>
      </w:r>
      <w:r w:rsidR="009F48B5">
        <w:t xml:space="preserve">. </w:t>
      </w:r>
      <w:r w:rsidR="0095056B">
        <w:t xml:space="preserve"> </w:t>
      </w:r>
      <w:r w:rsidRPr="00C943D5">
        <w:t xml:space="preserve">SHIPM </w:t>
      </w:r>
      <w:r w:rsidR="009F48B5">
        <w:t xml:space="preserve">2019 </w:t>
      </w:r>
      <w:r w:rsidRPr="00C943D5">
        <w:t>will be available</w:t>
      </w:r>
      <w:r w:rsidR="008F73B8">
        <w:t xml:space="preserve"> on our website</w:t>
      </w:r>
      <w:r w:rsidRPr="00C943D5">
        <w:t xml:space="preserve"> in early June. </w:t>
      </w:r>
    </w:p>
    <w:p w:rsidR="000F229E" w:rsidRPr="000A6F6C" w:rsidRDefault="00E430BA" w:rsidP="007A14E5">
      <w:pPr>
        <w:pStyle w:val="ListParagraph"/>
        <w:numPr>
          <w:ilvl w:val="0"/>
          <w:numId w:val="2"/>
        </w:numPr>
        <w:spacing w:before="100" w:after="200" w:line="276" w:lineRule="auto"/>
        <w:rPr>
          <w:rFonts w:cstheme="minorHAnsi"/>
        </w:rPr>
      </w:pPr>
      <w:r w:rsidRPr="00E430BA">
        <w:rPr>
          <w:b/>
        </w:rPr>
        <w:t xml:space="preserve">Compliance Review Activities </w:t>
      </w:r>
      <w:r>
        <w:t xml:space="preserve">– </w:t>
      </w:r>
      <w:r w:rsidR="008F73B8">
        <w:t>the</w:t>
      </w:r>
      <w:r w:rsidR="000A6F6C">
        <w:t xml:space="preserve"> </w:t>
      </w:r>
      <w:r>
        <w:t xml:space="preserve">Compliance Review team delivered the results of a desk review and began </w:t>
      </w:r>
      <w:r w:rsidR="008F73B8">
        <w:t>coordination with a department</w:t>
      </w:r>
      <w:r>
        <w:t xml:space="preserve"> to provide technical assistance </w:t>
      </w:r>
      <w:r w:rsidR="008F73B8">
        <w:t>for</w:t>
      </w:r>
      <w:r>
        <w:t xml:space="preserve"> a federal review.</w:t>
      </w:r>
      <w:r w:rsidR="000F229E" w:rsidRPr="00E430BA">
        <w:rPr>
          <w:rFonts w:cstheme="minorHAnsi"/>
          <w:color w:val="262524"/>
        </w:rPr>
        <w:t> </w:t>
      </w:r>
    </w:p>
    <w:p w:rsidR="000A6F6C" w:rsidRPr="000A6F6C" w:rsidRDefault="000A6F6C" w:rsidP="000A6F6C">
      <w:pPr>
        <w:pStyle w:val="ListParagraph"/>
        <w:numPr>
          <w:ilvl w:val="0"/>
          <w:numId w:val="2"/>
        </w:numPr>
        <w:spacing w:before="100" w:after="200" w:line="276" w:lineRule="auto"/>
      </w:pPr>
      <w:r>
        <w:rPr>
          <w:b/>
        </w:rPr>
        <w:t xml:space="preserve">State Legislation Review </w:t>
      </w:r>
      <w:r>
        <w:t xml:space="preserve">– CalOHII continues to review and track legislation related to the HIPAA and/or </w:t>
      </w:r>
      <w:r w:rsidR="008F73B8">
        <w:t xml:space="preserve">healthcare </w:t>
      </w:r>
      <w:r>
        <w:t>data privacy.  We are “tracking” a number of bills that could impact SHIPM</w:t>
      </w:r>
      <w:r w:rsidR="008F73B8">
        <w:t xml:space="preserve"> 2020</w:t>
      </w:r>
      <w:r>
        <w:t xml:space="preserve"> </w:t>
      </w:r>
      <w:r w:rsidR="00B940FE">
        <w:t>or our Compliance Review program</w:t>
      </w:r>
      <w:r>
        <w:t>.</w:t>
      </w:r>
    </w:p>
    <w:p w:rsidR="007E3477" w:rsidRPr="007E3477" w:rsidRDefault="007E3477" w:rsidP="007E3477">
      <w:pPr>
        <w:pStyle w:val="IntenseQuote"/>
        <w:rPr>
          <w:b/>
          <w:sz w:val="28"/>
          <w:szCs w:val="28"/>
        </w:rPr>
      </w:pPr>
      <w:r w:rsidRPr="007E3477">
        <w:rPr>
          <w:b/>
          <w:sz w:val="28"/>
          <w:szCs w:val="28"/>
        </w:rPr>
        <w:t>HHS News</w:t>
      </w:r>
    </w:p>
    <w:p w:rsidR="0009524F" w:rsidRDefault="009A5093" w:rsidP="000A6F6C">
      <w:pPr>
        <w:pStyle w:val="ListParagraph"/>
        <w:numPr>
          <w:ilvl w:val="0"/>
          <w:numId w:val="2"/>
        </w:numPr>
        <w:spacing w:before="100" w:after="200" w:line="276" w:lineRule="auto"/>
      </w:pPr>
      <w:hyperlink r:id="rId8" w:history="1">
        <w:r w:rsidR="009F3148" w:rsidRPr="009F3148">
          <w:rPr>
            <w:rStyle w:val="Hyperlink"/>
            <w:b/>
          </w:rPr>
          <w:t>HHS Centers for Medicare and Medicaid Services (CMS) announce the start of their Compliance Review Program</w:t>
        </w:r>
      </w:hyperlink>
      <w:r w:rsidR="009F3148">
        <w:t xml:space="preserve"> – HHS will randomly select nine (9) HIPAA-covered entities to participate in the reviews.</w:t>
      </w:r>
      <w:r w:rsidR="00B940FE">
        <w:t xml:space="preserve"> If your department is contacted by CMS, please notify CalOHII at </w:t>
      </w:r>
      <w:hyperlink r:id="rId9" w:history="1">
        <w:r w:rsidR="00B940FE" w:rsidRPr="00160723">
          <w:rPr>
            <w:rStyle w:val="Hyperlink"/>
            <w:b/>
          </w:rPr>
          <w:t>OHIComments@ohi.ca.gov</w:t>
        </w:r>
      </w:hyperlink>
      <w:r w:rsidR="00B940FE">
        <w:rPr>
          <w:rStyle w:val="Hyperlink"/>
          <w:b/>
        </w:rPr>
        <w:t>.</w:t>
      </w:r>
    </w:p>
    <w:p w:rsidR="009F3148" w:rsidRDefault="009A5093" w:rsidP="009F3148">
      <w:pPr>
        <w:pStyle w:val="ListParagraph"/>
        <w:numPr>
          <w:ilvl w:val="0"/>
          <w:numId w:val="2"/>
        </w:numPr>
        <w:spacing w:before="100" w:after="200" w:line="276" w:lineRule="auto"/>
      </w:pPr>
      <w:hyperlink r:id="rId10" w:history="1">
        <w:r w:rsidR="009F3148" w:rsidRPr="009F3148">
          <w:rPr>
            <w:rStyle w:val="Hyperlink"/>
            <w:b/>
          </w:rPr>
          <w:t>HHS Office for Civil Rights (OCR) Cybersecurity Newsletter</w:t>
        </w:r>
      </w:hyperlink>
      <w:r w:rsidR="009F3148">
        <w:rPr>
          <w:b/>
        </w:rPr>
        <w:t xml:space="preserve"> – </w:t>
      </w:r>
      <w:r w:rsidR="009F3148" w:rsidRPr="009F3148">
        <w:t>OCR</w:t>
      </w:r>
      <w:r w:rsidR="009F3148">
        <w:t xml:space="preserve"> has moved to a quarterly newsletter, this quarter’s newsletter focuses on advanced persistent threats and zero day vulnerabilities.</w:t>
      </w:r>
    </w:p>
    <w:p w:rsidR="00B940FE" w:rsidRDefault="00B940FE" w:rsidP="00B940FE">
      <w:pPr>
        <w:pStyle w:val="ListParagraph"/>
        <w:spacing w:before="100" w:after="200" w:line="276" w:lineRule="auto"/>
      </w:pPr>
    </w:p>
    <w:p w:rsidR="009A5093" w:rsidRDefault="009A5093" w:rsidP="00B940FE">
      <w:pPr>
        <w:pStyle w:val="ListParagraph"/>
        <w:spacing w:before="100" w:after="200" w:line="276" w:lineRule="auto"/>
        <w:sectPr w:rsidR="009A5093"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B940FE" w:rsidRPr="0009524F" w:rsidRDefault="00B940FE" w:rsidP="00B940FE">
      <w:pPr>
        <w:pStyle w:val="ListParagraph"/>
        <w:spacing w:before="100" w:after="200" w:line="276" w:lineRule="auto"/>
      </w:pPr>
    </w:p>
    <w:p w:rsidR="007E3477" w:rsidRPr="007E3477" w:rsidRDefault="007E3477" w:rsidP="007E3477">
      <w:pPr>
        <w:pStyle w:val="IntenseQuote"/>
        <w:rPr>
          <w:b/>
          <w:sz w:val="28"/>
          <w:szCs w:val="28"/>
        </w:rPr>
      </w:pPr>
      <w:r w:rsidRPr="007E3477">
        <w:rPr>
          <w:b/>
          <w:sz w:val="28"/>
          <w:szCs w:val="28"/>
        </w:rPr>
        <w:t>Other News</w:t>
      </w:r>
    </w:p>
    <w:p w:rsidR="000A6F6C" w:rsidRDefault="009A5093" w:rsidP="00E14CC3">
      <w:pPr>
        <w:pStyle w:val="ListParagraph"/>
        <w:numPr>
          <w:ilvl w:val="0"/>
          <w:numId w:val="2"/>
        </w:numPr>
        <w:spacing w:before="100" w:after="200" w:line="276" w:lineRule="auto"/>
      </w:pPr>
      <w:hyperlink r:id="rId11" w:history="1">
        <w:r w:rsidR="0095056B" w:rsidRPr="003143ED">
          <w:rPr>
            <w:rStyle w:val="Hyperlink"/>
            <w:b/>
          </w:rPr>
          <w:t>Compliance Checkup</w:t>
        </w:r>
        <w:r w:rsidR="003143ED" w:rsidRPr="003143ED">
          <w:rPr>
            <w:rStyle w:val="Hyperlink"/>
            <w:b/>
          </w:rPr>
          <w:t>: Mastering HIPAA: Part 1 – The Best Offense is a Good Defense</w:t>
        </w:r>
      </w:hyperlink>
      <w:r w:rsidR="003143ED">
        <w:t xml:space="preserve"> </w:t>
      </w:r>
      <w:r w:rsidR="00CA5498">
        <w:t>–</w:t>
      </w:r>
      <w:r w:rsidR="003143ED">
        <w:t xml:space="preserve"> </w:t>
      </w:r>
      <w:r w:rsidR="00CA5498">
        <w:t xml:space="preserve">this article provides some good insight on what </w:t>
      </w:r>
      <w:r w:rsidR="0095056B">
        <w:t xml:space="preserve">is needed from </w:t>
      </w:r>
      <w:r w:rsidR="000A6F6C">
        <w:t>O</w:t>
      </w:r>
      <w:r w:rsidR="0095056B">
        <w:t xml:space="preserve">CR in the event of a </w:t>
      </w:r>
      <w:r w:rsidR="00CA5498">
        <w:t xml:space="preserve">HIPAA </w:t>
      </w:r>
      <w:r w:rsidR="0095056B">
        <w:t>breach</w:t>
      </w:r>
      <w:r w:rsidR="00CA5498">
        <w:t xml:space="preserve">. </w:t>
      </w:r>
    </w:p>
    <w:p w:rsidR="0095056B" w:rsidRDefault="009A5093" w:rsidP="00E14CC3">
      <w:pPr>
        <w:pStyle w:val="ListParagraph"/>
        <w:numPr>
          <w:ilvl w:val="0"/>
          <w:numId w:val="2"/>
        </w:numPr>
        <w:spacing w:before="100" w:after="200" w:line="276" w:lineRule="auto"/>
      </w:pPr>
      <w:hyperlink r:id="rId12" w:history="1">
        <w:r w:rsidR="000A6F6C" w:rsidRPr="000A6F6C">
          <w:rPr>
            <w:rStyle w:val="Hyperlink"/>
            <w:b/>
          </w:rPr>
          <w:t>Key Privacy and Security Program Elements to Survive a HIPAA Audit</w:t>
        </w:r>
      </w:hyperlink>
      <w:r w:rsidR="000A6F6C">
        <w:t xml:space="preserve"> - recent research into OCR audits provides insights on what triggers an audit, what is OCR looking for during an audit, and how penalties are assessed.</w:t>
      </w:r>
    </w:p>
    <w:p w:rsidR="0095056B" w:rsidRDefault="009A5093" w:rsidP="00E14CC3">
      <w:pPr>
        <w:pStyle w:val="ListParagraph"/>
        <w:numPr>
          <w:ilvl w:val="0"/>
          <w:numId w:val="2"/>
        </w:numPr>
        <w:spacing w:before="100" w:after="200" w:line="276" w:lineRule="auto"/>
      </w:pPr>
      <w:hyperlink r:id="rId13" w:history="1">
        <w:r w:rsidR="00CA5498" w:rsidRPr="00CA5498">
          <w:rPr>
            <w:rStyle w:val="Hyperlink"/>
            <w:b/>
          </w:rPr>
          <w:t>Beazley Report Reveals Major Increase in Healthcare Hacking and Malware Incidents</w:t>
        </w:r>
      </w:hyperlink>
      <w:r w:rsidR="00CA5498" w:rsidRPr="00CA5498">
        <w:rPr>
          <w:b/>
        </w:rPr>
        <w:t xml:space="preserve"> </w:t>
      </w:r>
      <w:r w:rsidR="0095056B">
        <w:t xml:space="preserve">– </w:t>
      </w:r>
      <w:r w:rsidR="00CA5498">
        <w:t xml:space="preserve">this article states that </w:t>
      </w:r>
      <w:r w:rsidR="0095056B">
        <w:t xml:space="preserve">healthcare accounts for 41% of all breaches, with hacking/malware and accidental disclosure both accounting for 31% (each) of the reported breaches.  </w:t>
      </w:r>
    </w:p>
    <w:p w:rsidR="0095056B" w:rsidRDefault="009A5093" w:rsidP="00E14CC3">
      <w:pPr>
        <w:pStyle w:val="ListParagraph"/>
        <w:numPr>
          <w:ilvl w:val="0"/>
          <w:numId w:val="2"/>
        </w:numPr>
        <w:spacing w:before="100" w:after="200" w:line="276" w:lineRule="auto"/>
      </w:pPr>
      <w:hyperlink r:id="rId14" w:history="1">
        <w:r w:rsidR="00CA5498" w:rsidRPr="00CA5498">
          <w:rPr>
            <w:rStyle w:val="Hyperlink"/>
            <w:b/>
          </w:rPr>
          <w:t>Healthcare’s Strong Network Security May Reflect Outdated Model</w:t>
        </w:r>
      </w:hyperlink>
      <w:r w:rsidR="00CA5498">
        <w:t xml:space="preserve"> </w:t>
      </w:r>
      <w:r w:rsidR="0095056B">
        <w:t xml:space="preserve">– </w:t>
      </w:r>
      <w:r w:rsidR="00E14CC3">
        <w:t>t</w:t>
      </w:r>
      <w:r w:rsidR="00CA5498">
        <w:t>he good news is that healthcare ranks 5</w:t>
      </w:r>
      <w:r w:rsidR="00CA5498" w:rsidRPr="00CA5498">
        <w:rPr>
          <w:vertAlign w:val="superscript"/>
        </w:rPr>
        <w:t>th</w:t>
      </w:r>
      <w:r w:rsidR="00CA5498">
        <w:t xml:space="preserve"> for network security (as reported by </w:t>
      </w:r>
      <w:proofErr w:type="spellStart"/>
      <w:r w:rsidR="00CA5498">
        <w:t>SecurityScorecard</w:t>
      </w:r>
      <w:proofErr w:type="spellEnd"/>
      <w:r w:rsidR="00CA5498">
        <w:t xml:space="preserve"> in the recent 2019 Healthcare Cybersecurity Report).  This is the strongest showing for healthcare – which could be due in </w:t>
      </w:r>
      <w:r w:rsidR="0095056B">
        <w:t xml:space="preserve">part </w:t>
      </w:r>
      <w:r w:rsidR="00CA5498">
        <w:t xml:space="preserve">to </w:t>
      </w:r>
      <w:r w:rsidR="0095056B">
        <w:t>efforts to comply with HIPAA regulations</w:t>
      </w:r>
      <w:r w:rsidR="00CA5498">
        <w:t xml:space="preserve">.  On the downside, the report states </w:t>
      </w:r>
      <w:r w:rsidR="0095056B">
        <w:t>that healthcare employs an outda</w:t>
      </w:r>
      <w:r w:rsidR="00CA5498">
        <w:t>ted “eggshell security model” (hardened perimeter defends soft, vulnerable internal network)</w:t>
      </w:r>
      <w:r w:rsidR="00E430BA">
        <w:t>.</w:t>
      </w:r>
    </w:p>
    <w:p w:rsidR="0095056B" w:rsidRDefault="009A5093" w:rsidP="00E14CC3">
      <w:pPr>
        <w:pStyle w:val="ListParagraph"/>
        <w:numPr>
          <w:ilvl w:val="0"/>
          <w:numId w:val="2"/>
        </w:numPr>
        <w:spacing w:before="100" w:after="200" w:line="276" w:lineRule="auto"/>
      </w:pPr>
      <w:hyperlink r:id="rId15" w:history="1">
        <w:r w:rsidR="00E430BA" w:rsidRPr="00E430BA">
          <w:rPr>
            <w:rStyle w:val="Hyperlink"/>
            <w:b/>
          </w:rPr>
          <w:t>Study Confirms Healthcare Employees are Susceptible to Phishing Attacks</w:t>
        </w:r>
      </w:hyperlink>
      <w:r w:rsidR="00E430BA">
        <w:t xml:space="preserve"> – </w:t>
      </w:r>
      <w:r w:rsidR="00E14CC3">
        <w:t>r</w:t>
      </w:r>
      <w:r w:rsidR="00E430BA">
        <w:t xml:space="preserve">esearchers found some interesting </w:t>
      </w:r>
      <w:r w:rsidR="0095056B">
        <w:t>insights into what types</w:t>
      </w:r>
      <w:r w:rsidR="00E430BA">
        <w:t xml:space="preserve"> phishing emails </w:t>
      </w:r>
      <w:r w:rsidR="0095056B">
        <w:t>a</w:t>
      </w:r>
      <w:r w:rsidR="00E430BA">
        <w:t>re “clicked” more than others.  In addition, the researchers suggest ways to counter the threat from phishing.</w:t>
      </w:r>
    </w:p>
    <w:p w:rsidR="00E430BA" w:rsidRDefault="009A5093" w:rsidP="00E14CC3">
      <w:pPr>
        <w:pStyle w:val="ListParagraph"/>
        <w:numPr>
          <w:ilvl w:val="0"/>
          <w:numId w:val="2"/>
        </w:numPr>
        <w:spacing w:before="100" w:after="200" w:line="276" w:lineRule="auto"/>
      </w:pPr>
      <w:hyperlink r:id="rId16" w:history="1">
        <w:r w:rsidR="00E430BA" w:rsidRPr="00E430BA">
          <w:rPr>
            <w:rStyle w:val="Hyperlink"/>
            <w:b/>
          </w:rPr>
          <w:t>Serious Security Risks found in Healthcare Laptops</w:t>
        </w:r>
      </w:hyperlink>
      <w:r w:rsidR="00E430BA">
        <w:t xml:space="preserve"> </w:t>
      </w:r>
      <w:r w:rsidR="00E14CC3">
        <w:t>–</w:t>
      </w:r>
      <w:r w:rsidR="00E430BA">
        <w:t xml:space="preserve"> </w:t>
      </w:r>
      <w:r w:rsidR="00E14CC3">
        <w:t xml:space="preserve">analysis by Clearwater </w:t>
      </w:r>
      <w:proofErr w:type="spellStart"/>
      <w:r w:rsidR="00E14CC3">
        <w:t>CyberIntellence</w:t>
      </w:r>
      <w:proofErr w:type="spellEnd"/>
      <w:r w:rsidR="00E14CC3">
        <w:t xml:space="preserve"> Institute found laptops rank 6</w:t>
      </w:r>
      <w:r w:rsidR="00E14CC3" w:rsidRPr="00E14CC3">
        <w:rPr>
          <w:vertAlign w:val="superscript"/>
        </w:rPr>
        <w:t>th</w:t>
      </w:r>
      <w:r w:rsidR="00E14CC3">
        <w:t xml:space="preserve"> among sources of risk in healthcare organizations.  Not only are laptops portable and easily lost or stolen, but they were also found to have endpoint data loss, excessive user permissions, and dormant accounts.</w:t>
      </w:r>
    </w:p>
    <w:p w:rsidR="003143ED" w:rsidRDefault="009A5093" w:rsidP="00E14CC3">
      <w:pPr>
        <w:pStyle w:val="ListParagraph"/>
        <w:numPr>
          <w:ilvl w:val="0"/>
          <w:numId w:val="2"/>
        </w:numPr>
        <w:spacing w:before="100" w:after="200" w:line="276" w:lineRule="auto"/>
      </w:pPr>
      <w:hyperlink r:id="rId17" w:history="1">
        <w:r w:rsidR="00E14CC3" w:rsidRPr="00E14CC3">
          <w:rPr>
            <w:rStyle w:val="Hyperlink"/>
            <w:b/>
          </w:rPr>
          <w:t xml:space="preserve">CHIME: </w:t>
        </w:r>
        <w:r w:rsidR="003143ED" w:rsidRPr="00E14CC3">
          <w:rPr>
            <w:rStyle w:val="Hyperlink"/>
            <w:b/>
          </w:rPr>
          <w:t xml:space="preserve">Health IT Cybersecurity </w:t>
        </w:r>
        <w:r w:rsidR="00E14CC3" w:rsidRPr="00E14CC3">
          <w:rPr>
            <w:rStyle w:val="Hyperlink"/>
            <w:b/>
          </w:rPr>
          <w:t>Gaps L</w:t>
        </w:r>
        <w:r w:rsidR="003143ED" w:rsidRPr="00E14CC3">
          <w:rPr>
            <w:rStyle w:val="Hyperlink"/>
            <w:b/>
          </w:rPr>
          <w:t xml:space="preserve">ie in </w:t>
        </w:r>
        <w:r w:rsidR="00E14CC3" w:rsidRPr="00E14CC3">
          <w:rPr>
            <w:rStyle w:val="Hyperlink"/>
            <w:b/>
          </w:rPr>
          <w:t>Data I</w:t>
        </w:r>
        <w:r w:rsidR="003143ED" w:rsidRPr="00E14CC3">
          <w:rPr>
            <w:rStyle w:val="Hyperlink"/>
            <w:b/>
          </w:rPr>
          <w:t>nventory</w:t>
        </w:r>
        <w:r w:rsidR="00E14CC3" w:rsidRPr="00E14CC3">
          <w:rPr>
            <w:rStyle w:val="Hyperlink"/>
            <w:b/>
          </w:rPr>
          <w:t>, P</w:t>
        </w:r>
        <w:r w:rsidR="003143ED" w:rsidRPr="00E14CC3">
          <w:rPr>
            <w:rStyle w:val="Hyperlink"/>
            <w:b/>
          </w:rPr>
          <w:t>atchi</w:t>
        </w:r>
        <w:r w:rsidR="00E14CC3" w:rsidRPr="00E14CC3">
          <w:rPr>
            <w:rStyle w:val="Hyperlink"/>
            <w:b/>
          </w:rPr>
          <w:t>ng I</w:t>
        </w:r>
        <w:r w:rsidR="003143ED" w:rsidRPr="00E14CC3">
          <w:rPr>
            <w:rStyle w:val="Hyperlink"/>
            <w:b/>
          </w:rPr>
          <w:t>ssues</w:t>
        </w:r>
      </w:hyperlink>
      <w:r w:rsidR="003143ED">
        <w:t xml:space="preserve"> – </w:t>
      </w:r>
      <w:r w:rsidR="00E14CC3">
        <w:t>in response to a request for comment from Senator Mark Warner, CHIME outlined the biggest IT security gaps in the healthcare industry.</w:t>
      </w:r>
    </w:p>
    <w:p w:rsidR="001D703E" w:rsidRPr="007E3477" w:rsidRDefault="001D703E" w:rsidP="001D703E">
      <w:pPr>
        <w:pStyle w:val="IntenseQuote"/>
        <w:rPr>
          <w:b/>
          <w:sz w:val="28"/>
          <w:szCs w:val="28"/>
        </w:rPr>
      </w:pPr>
      <w:r>
        <w:rPr>
          <w:b/>
          <w:sz w:val="28"/>
          <w:szCs w:val="28"/>
        </w:rPr>
        <w:t>Contact Us…</w:t>
      </w:r>
    </w:p>
    <w:p w:rsidR="007E3477" w:rsidRPr="007E3477" w:rsidRDefault="001D703E" w:rsidP="007E3477">
      <w:pPr>
        <w:pStyle w:val="ListParagraph"/>
      </w:pPr>
      <w:r>
        <w:rPr>
          <w:b/>
        </w:rPr>
        <w:t xml:space="preserve">If you have any questions or comments about the content of this newsletter, contact us at </w:t>
      </w:r>
      <w:hyperlink r:id="rId18" w:history="1">
        <w:r w:rsidRPr="00160723">
          <w:rPr>
            <w:rStyle w:val="Hyperlink"/>
            <w:b/>
          </w:rPr>
          <w:t>OHIComments@ohi.ca.gov</w:t>
        </w:r>
      </w:hyperlink>
      <w:r w:rsidR="009C13FB">
        <w:rPr>
          <w:b/>
        </w:rPr>
        <w:t>.</w:t>
      </w:r>
    </w:p>
    <w:sectPr w:rsidR="007E3477" w:rsidRPr="007E3477"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2807CF"/>
    <w:multiLevelType w:val="hybridMultilevel"/>
    <w:tmpl w:val="A36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45DAB"/>
    <w:rsid w:val="000561B1"/>
    <w:rsid w:val="0009524F"/>
    <w:rsid w:val="000A6F6C"/>
    <w:rsid w:val="000F229E"/>
    <w:rsid w:val="00156352"/>
    <w:rsid w:val="00171B56"/>
    <w:rsid w:val="001D703E"/>
    <w:rsid w:val="00231C03"/>
    <w:rsid w:val="003143ED"/>
    <w:rsid w:val="00414855"/>
    <w:rsid w:val="0048599D"/>
    <w:rsid w:val="0056290E"/>
    <w:rsid w:val="00614626"/>
    <w:rsid w:val="006A7280"/>
    <w:rsid w:val="007C2D7E"/>
    <w:rsid w:val="007D1D19"/>
    <w:rsid w:val="007E3477"/>
    <w:rsid w:val="008F248D"/>
    <w:rsid w:val="008F73B8"/>
    <w:rsid w:val="009217BF"/>
    <w:rsid w:val="0095056B"/>
    <w:rsid w:val="009A2EA4"/>
    <w:rsid w:val="009A5093"/>
    <w:rsid w:val="009C13FB"/>
    <w:rsid w:val="009F3148"/>
    <w:rsid w:val="009F48B5"/>
    <w:rsid w:val="00AC562C"/>
    <w:rsid w:val="00AD66C3"/>
    <w:rsid w:val="00B40745"/>
    <w:rsid w:val="00B54602"/>
    <w:rsid w:val="00B87FC4"/>
    <w:rsid w:val="00B940FE"/>
    <w:rsid w:val="00BB6EFB"/>
    <w:rsid w:val="00CA5498"/>
    <w:rsid w:val="00CC4E65"/>
    <w:rsid w:val="00D50140"/>
    <w:rsid w:val="00DB4FCF"/>
    <w:rsid w:val="00E14CC3"/>
    <w:rsid w:val="00E411FE"/>
    <w:rsid w:val="00E430BA"/>
    <w:rsid w:val="00E7595A"/>
    <w:rsid w:val="00E85281"/>
    <w:rsid w:val="00F8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colormenu v:ext="edit" fillcolor="none"/>
    </o:shapedefaults>
    <o:shapelayout v:ext="edit">
      <o:idmap v:ext="edit" data="1"/>
    </o:shapelayout>
  </w:shapeDefaults>
  <w:decimalSymbol w:val="."/>
  <w:listSeparator w:val=","/>
  <w14:docId w14:val="0E131BE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Administrative-Simplification/Enforcements/Compliance-Review-Program.html" TargetMode="External"/><Relationship Id="rId13" Type="http://schemas.openxmlformats.org/officeDocument/2006/relationships/hyperlink" Target="https://www.hipaajournal.com/beazley-increase-healthcare-hacking-malware-incidents/" TargetMode="External"/><Relationship Id="rId18" Type="http://schemas.openxmlformats.org/officeDocument/2006/relationships/hyperlink" Target="mailto:OHIComments@ohi.ca.gov" TargetMode="External"/><Relationship Id="rId3" Type="http://schemas.openxmlformats.org/officeDocument/2006/relationships/settings" Target="settings.xml"/><Relationship Id="rId7" Type="http://schemas.openxmlformats.org/officeDocument/2006/relationships/hyperlink" Target="https://www.chhs.ca.gov/ohii/shipm/" TargetMode="External"/><Relationship Id="rId12" Type="http://schemas.openxmlformats.org/officeDocument/2006/relationships/hyperlink" Target="https://healthitsecurity.com/news/key-privacy-and-security-program-elements-to-survive-a-hipaa-audit?eid=CXTEL000000462143&amp;elqCampaignId=9204&amp;elqTrackId=034dec2cb21347dbbcfaffcad25638db&amp;elq=0007ff016203405a98ee40fc4e5a0499&amp;elqaid=9665&amp;elqat=1&amp;elqCampaignId=9204" TargetMode="External"/><Relationship Id="rId17" Type="http://schemas.openxmlformats.org/officeDocument/2006/relationships/hyperlink" Target="https://healthitsecurity.com/news/chime-health-it-cybersecurity-gaps-lie-in-data-inventory-patching-issues" TargetMode="External"/><Relationship Id="rId2" Type="http://schemas.openxmlformats.org/officeDocument/2006/relationships/styles" Target="styles.xml"/><Relationship Id="rId16" Type="http://schemas.openxmlformats.org/officeDocument/2006/relationships/hyperlink" Target="https://www.hipaajournal.com/serious-security-risks-found-in-healthcare-lapto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rouse.com/compliance-checkup-mastering-hippa-part-1-the-best-offense-is-a-good-defense" TargetMode="External"/><Relationship Id="rId5" Type="http://schemas.openxmlformats.org/officeDocument/2006/relationships/image" Target="media/image1.png"/><Relationship Id="rId15" Type="http://schemas.openxmlformats.org/officeDocument/2006/relationships/hyperlink" Target="https://www.hipaajournal.com/study-healthcare-employees-phishing-attacks/" TargetMode="External"/><Relationship Id="rId10" Type="http://schemas.openxmlformats.org/officeDocument/2006/relationships/hyperlink" Target="https://www.hhs.gov/sites/default/files/cybersecurity-newsletter-Spring-2019/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IComments@ohi.ca.gov" TargetMode="External"/><Relationship Id="rId14" Type="http://schemas.openxmlformats.org/officeDocument/2006/relationships/hyperlink" Target="https://hitinfrastructure.com/news/healthcares-strong-network-security-may-reflect-outdated-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9</cp:revision>
  <cp:lastPrinted>2019-04-04T14:26:00Z</cp:lastPrinted>
  <dcterms:created xsi:type="dcterms:W3CDTF">2019-04-02T18:37:00Z</dcterms:created>
  <dcterms:modified xsi:type="dcterms:W3CDTF">2019-04-18T17:23:00Z</dcterms:modified>
</cp:coreProperties>
</file>