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47F" w:rsidRPr="007E3477" w:rsidRDefault="00B87FC4" w:rsidP="0048599D">
      <w:pPr>
        <w:pStyle w:val="Title"/>
        <w:ind w:left="-450"/>
        <w:rPr>
          <w:rFonts w:ascii="Century Gothic" w:hAnsi="Century Gothic"/>
          <w:b/>
          <w:color w:val="1F3864" w:themeColor="accent5" w:themeShade="80"/>
        </w:rPr>
      </w:pPr>
      <w:r w:rsidRPr="007E3477">
        <w:rPr>
          <w:rFonts w:ascii="Century Gothic" w:hAnsi="Century Gothic"/>
          <w:b/>
          <w:noProof/>
          <w:color w:val="1F3864" w:themeColor="accent5" w:themeShade="80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-466725</wp:posOffset>
                </wp:positionV>
                <wp:extent cx="6886575" cy="1047750"/>
                <wp:effectExtent l="19050" t="19050" r="28575" b="19050"/>
                <wp:wrapNone/>
                <wp:docPr id="1" name="Rounded Rectangle 1" descr="Banner for CalOHII Communications Newsletter - contains the CalOHII Communications header and CalOHII Logo" title="Newsletter Bann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104775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8100000" scaled="1"/>
                          <a:tileRect/>
                        </a:gra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2930C5" id="Rounded Rectangle 1" o:spid="_x0000_s1026" alt="Title: Newsletter Banner - Description: Banner for CalOHII Communications Newsletter - contains the CalOHII Communications header and CalOHII Logo" style="position:absolute;margin-left:-36.75pt;margin-top:-36.75pt;width:542.25pt;height:82.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" fillcolor="#92bce3 [2132]" strokecolor="#1f4d78 [1604]" strokeweight="2.25pt">
                <v:fill color2="#d9e8f5 [756]" rotate="t" angle="315" colors="0 #9ac3f6;.5 #c1d8f8;1 #e1ecfb" focus="100%" type="gradient"/>
                <v:stroke joinstyle="miter"/>
              </v:roundrect>
            </w:pict>
          </mc:Fallback>
        </mc:AlternateContent>
      </w:r>
      <w:r w:rsidR="007E3477" w:rsidRPr="007E3477">
        <w:rPr>
          <w:rFonts w:ascii="Century Gothic" w:hAnsi="Century Gothic"/>
          <w:b/>
          <w:noProof/>
          <w:color w:val="1F3864" w:themeColor="accent5" w:themeShade="8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4335145</wp:posOffset>
            </wp:positionH>
            <wp:positionV relativeFrom="paragraph">
              <wp:posOffset>-352425</wp:posOffset>
            </wp:positionV>
            <wp:extent cx="1926590" cy="740914"/>
            <wp:effectExtent l="0" t="0" r="0" b="2540"/>
            <wp:wrapNone/>
            <wp:docPr id="5" name="Picture 4" descr="Logo for the California Office of Health Information Integrity" title="CalOHI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6590" cy="7409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3477" w:rsidRPr="007E3477">
        <w:rPr>
          <w:rFonts w:ascii="Century Gothic" w:hAnsi="Century Gothic"/>
          <w:b/>
          <w:color w:val="1F3864" w:themeColor="accent5" w:themeShade="80"/>
        </w:rPr>
        <w:t>CalOHII Communication</w:t>
      </w:r>
      <w:r w:rsidR="009F48B5">
        <w:rPr>
          <w:rFonts w:ascii="Century Gothic" w:hAnsi="Century Gothic"/>
          <w:b/>
          <w:color w:val="1F3864" w:themeColor="accent5" w:themeShade="80"/>
        </w:rPr>
        <w:t>s</w:t>
      </w:r>
    </w:p>
    <w:p w:rsidR="007E3477" w:rsidRDefault="007E3477" w:rsidP="007E3477"/>
    <w:p w:rsidR="007E3477" w:rsidRPr="007E3477" w:rsidRDefault="00E7595A" w:rsidP="007E3477">
      <w:pPr>
        <w:jc w:val="right"/>
        <w:rPr>
          <w:b/>
        </w:rPr>
      </w:pPr>
      <w:r>
        <w:rPr>
          <w:b/>
        </w:rPr>
        <w:t>March</w:t>
      </w:r>
      <w:r w:rsidR="007E3477" w:rsidRPr="007E3477">
        <w:rPr>
          <w:b/>
        </w:rPr>
        <w:t xml:space="preserve"> 2019</w:t>
      </w:r>
    </w:p>
    <w:p w:rsidR="000F229E" w:rsidRDefault="000F229E" w:rsidP="00E85281">
      <w:pPr>
        <w:spacing w:before="100" w:after="200" w:line="276" w:lineRule="auto"/>
        <w:rPr>
          <w:b/>
        </w:rPr>
      </w:pPr>
    </w:p>
    <w:p w:rsidR="000F229E" w:rsidRPr="00C943D5" w:rsidRDefault="00DB4FCF" w:rsidP="00E85281">
      <w:pPr>
        <w:spacing w:before="100" w:after="200" w:line="276" w:lineRule="auto"/>
      </w:pPr>
      <w:r w:rsidRPr="00414855">
        <w:rPr>
          <w:b/>
          <w:i/>
        </w:rPr>
        <w:t>“</w:t>
      </w:r>
      <w:r w:rsidR="00E85281" w:rsidRPr="00414855">
        <w:rPr>
          <w:b/>
          <w:i/>
        </w:rPr>
        <w:t>CalOHII Communications</w:t>
      </w:r>
      <w:r w:rsidRPr="00414855">
        <w:rPr>
          <w:b/>
          <w:i/>
        </w:rPr>
        <w:t>”</w:t>
      </w:r>
      <w:r w:rsidR="00E85281" w:rsidRPr="00E85281">
        <w:rPr>
          <w:b/>
        </w:rPr>
        <w:t xml:space="preserve"> gets a new look</w:t>
      </w:r>
      <w:r w:rsidR="00E85281">
        <w:t xml:space="preserve"> – starting this month, the format of </w:t>
      </w:r>
      <w:r w:rsidR="00AC562C">
        <w:t>the California Office of Health Information Integrity (CalOHII)</w:t>
      </w:r>
      <w:r w:rsidR="00E85281">
        <w:t xml:space="preserve"> monthly </w:t>
      </w:r>
      <w:r w:rsidRPr="00414855">
        <w:rPr>
          <w:i/>
        </w:rPr>
        <w:t>“</w:t>
      </w:r>
      <w:r w:rsidR="00E85281" w:rsidRPr="00414855">
        <w:rPr>
          <w:i/>
        </w:rPr>
        <w:t>CalOHII Communications</w:t>
      </w:r>
      <w:r w:rsidRPr="00414855">
        <w:rPr>
          <w:i/>
        </w:rPr>
        <w:t>”</w:t>
      </w:r>
      <w:r w:rsidR="00E85281">
        <w:t xml:space="preserve"> has changed and we are now posting it to our website for easy r</w:t>
      </w:r>
      <w:bookmarkStart w:id="0" w:name="_GoBack"/>
      <w:bookmarkEnd w:id="0"/>
      <w:r w:rsidR="00E85281">
        <w:t>eference.</w:t>
      </w:r>
      <w:r w:rsidR="000F229E">
        <w:br/>
      </w:r>
    </w:p>
    <w:p w:rsidR="00AD66C3" w:rsidRPr="007E3477" w:rsidRDefault="00AD66C3" w:rsidP="00AD66C3">
      <w:pPr>
        <w:pStyle w:val="IntenseQuote"/>
        <w:rPr>
          <w:b/>
          <w:sz w:val="28"/>
          <w:szCs w:val="28"/>
        </w:rPr>
      </w:pPr>
      <w:r w:rsidRPr="007E3477">
        <w:rPr>
          <w:b/>
          <w:sz w:val="28"/>
          <w:szCs w:val="28"/>
        </w:rPr>
        <w:t>CalOHII Updates</w:t>
      </w:r>
    </w:p>
    <w:p w:rsidR="00AD66C3" w:rsidRDefault="00AD66C3" w:rsidP="00AD66C3">
      <w:pPr>
        <w:pStyle w:val="ListParagraph"/>
        <w:numPr>
          <w:ilvl w:val="0"/>
          <w:numId w:val="2"/>
        </w:numPr>
        <w:spacing w:before="100" w:after="200" w:line="276" w:lineRule="auto"/>
      </w:pPr>
      <w:r w:rsidRPr="00C943D5">
        <w:rPr>
          <w:b/>
        </w:rPr>
        <w:t>SHIPM 2019 Update</w:t>
      </w:r>
      <w:r w:rsidRPr="00C943D5">
        <w:t xml:space="preserve"> – </w:t>
      </w:r>
      <w:r w:rsidR="009F48B5">
        <w:t>CalOHII continues work on the updates to</w:t>
      </w:r>
      <w:r w:rsidR="00AC562C">
        <w:t xml:space="preserve"> Statewide Health Information Policy Manual</w:t>
      </w:r>
      <w:r w:rsidR="009F48B5">
        <w:t xml:space="preserve"> </w:t>
      </w:r>
      <w:r w:rsidR="00AC562C">
        <w:t>(</w:t>
      </w:r>
      <w:hyperlink r:id="rId6" w:history="1">
        <w:r w:rsidR="009F48B5" w:rsidRPr="00BB6EFB">
          <w:rPr>
            <w:rStyle w:val="Hyperlink"/>
          </w:rPr>
          <w:t>SHIPM</w:t>
        </w:r>
      </w:hyperlink>
      <w:r w:rsidR="00AC562C">
        <w:rPr>
          <w:rStyle w:val="Hyperlink"/>
        </w:rPr>
        <w:t>)</w:t>
      </w:r>
      <w:r w:rsidR="009F48B5">
        <w:t xml:space="preserve"> for our </w:t>
      </w:r>
      <w:r w:rsidRPr="00C943D5">
        <w:t xml:space="preserve">2019 </w:t>
      </w:r>
      <w:r w:rsidR="009F48B5">
        <w:t xml:space="preserve">revision. </w:t>
      </w:r>
      <w:r w:rsidRPr="00C943D5">
        <w:t xml:space="preserve">SHIPM </w:t>
      </w:r>
      <w:r w:rsidR="009F48B5">
        <w:t xml:space="preserve">2019 </w:t>
      </w:r>
      <w:r w:rsidRPr="00C943D5">
        <w:t xml:space="preserve">will be available in early June. </w:t>
      </w:r>
    </w:p>
    <w:p w:rsidR="00E85281" w:rsidRDefault="00B40745" w:rsidP="00AD66C3">
      <w:pPr>
        <w:pStyle w:val="ListParagraph"/>
        <w:numPr>
          <w:ilvl w:val="0"/>
          <w:numId w:val="2"/>
        </w:numPr>
        <w:spacing w:before="100" w:after="200" w:line="276" w:lineRule="auto"/>
      </w:pPr>
      <w:r>
        <w:rPr>
          <w:b/>
        </w:rPr>
        <w:t>State L</w:t>
      </w:r>
      <w:r w:rsidR="00E85281">
        <w:rPr>
          <w:b/>
        </w:rPr>
        <w:t>egislation</w:t>
      </w:r>
      <w:r>
        <w:rPr>
          <w:b/>
        </w:rPr>
        <w:t xml:space="preserve"> Review</w:t>
      </w:r>
      <w:r w:rsidR="00E85281">
        <w:rPr>
          <w:b/>
        </w:rPr>
        <w:t xml:space="preserve"> </w:t>
      </w:r>
      <w:r w:rsidR="00E85281">
        <w:t xml:space="preserve">– CalOHII has reviewed over 90 bills related to </w:t>
      </w:r>
      <w:r w:rsidR="00AC562C">
        <w:t>the Health Insurance Portability and Accountability Act (</w:t>
      </w:r>
      <w:r w:rsidR="00E85281">
        <w:t>HIPAA</w:t>
      </w:r>
      <w:r w:rsidR="00AC562C">
        <w:t>)</w:t>
      </w:r>
      <w:r w:rsidR="00E85281">
        <w:t xml:space="preserve"> or data privacy.  We are “tracking” many that could impact SHIPM or our Compliance Review process.</w:t>
      </w:r>
    </w:p>
    <w:p w:rsidR="000F229E" w:rsidRPr="000F229E" w:rsidRDefault="00B40745" w:rsidP="007A3998">
      <w:pPr>
        <w:pStyle w:val="ListParagraph"/>
        <w:numPr>
          <w:ilvl w:val="0"/>
          <w:numId w:val="2"/>
        </w:numPr>
        <w:spacing w:before="100" w:after="200" w:line="276" w:lineRule="auto"/>
      </w:pPr>
      <w:r w:rsidRPr="000F229E">
        <w:rPr>
          <w:b/>
        </w:rPr>
        <w:t xml:space="preserve">HIPAA </w:t>
      </w:r>
      <w:r w:rsidR="007D1D19" w:rsidRPr="000F229E">
        <w:rPr>
          <w:b/>
        </w:rPr>
        <w:t xml:space="preserve">Conferences </w:t>
      </w:r>
      <w:r w:rsidR="007D1D19">
        <w:t xml:space="preserve">– CalOHII attended the </w:t>
      </w:r>
      <w:r w:rsidR="00AC562C">
        <w:t>Health Information and Management Systems Society (</w:t>
      </w:r>
      <w:r w:rsidR="007D1D19">
        <w:t>HIMSS</w:t>
      </w:r>
      <w:r w:rsidR="00AC562C">
        <w:t>)</w:t>
      </w:r>
      <w:r w:rsidR="007D1D19">
        <w:t xml:space="preserve"> conference </w:t>
      </w:r>
      <w:r w:rsidR="0056290E">
        <w:t>and</w:t>
      </w:r>
      <w:r w:rsidR="007D1D19">
        <w:t xml:space="preserve"> the </w:t>
      </w:r>
      <w:r>
        <w:t>28</w:t>
      </w:r>
      <w:r w:rsidRPr="000F229E">
        <w:rPr>
          <w:vertAlign w:val="superscript"/>
        </w:rPr>
        <w:t>th</w:t>
      </w:r>
      <w:r>
        <w:t xml:space="preserve"> National </w:t>
      </w:r>
      <w:r w:rsidR="00AC562C">
        <w:t>HIPA</w:t>
      </w:r>
      <w:r w:rsidR="007D1D19">
        <w:t>A</w:t>
      </w:r>
      <w:r>
        <w:t xml:space="preserve"> Summit</w:t>
      </w:r>
      <w:r w:rsidR="000F229E">
        <w:t xml:space="preserve"> in March</w:t>
      </w:r>
      <w:r>
        <w:t xml:space="preserve">. </w:t>
      </w:r>
      <w:r w:rsidR="007D1D19">
        <w:t xml:space="preserve"> </w:t>
      </w:r>
      <w:r w:rsidR="000F229E" w:rsidRPr="000F229E">
        <w:t>Following are a few takeaways from the</w:t>
      </w:r>
      <w:r w:rsidR="0056290E">
        <w:t>se</w:t>
      </w:r>
      <w:r w:rsidR="000F229E" w:rsidRPr="000F229E">
        <w:t xml:space="preserve"> conference</w:t>
      </w:r>
      <w:r w:rsidR="0056290E">
        <w:t>s</w:t>
      </w:r>
      <w:r w:rsidR="000F229E" w:rsidRPr="000F229E">
        <w:t xml:space="preserve">: </w:t>
      </w:r>
    </w:p>
    <w:p w:rsidR="000F229E" w:rsidRPr="000F229E" w:rsidRDefault="00AC562C" w:rsidP="000F229E">
      <w:pPr>
        <w:pStyle w:val="ListParagraph"/>
        <w:numPr>
          <w:ilvl w:val="1"/>
          <w:numId w:val="2"/>
        </w:numPr>
        <w:spacing w:before="100" w:after="200" w:line="276" w:lineRule="auto"/>
      </w:pPr>
      <w:r>
        <w:t>U. S. Department of Health and Human Services (HHS), Office of Civil Rights (</w:t>
      </w:r>
      <w:r w:rsidR="000F229E" w:rsidRPr="000F229E">
        <w:t>OCR</w:t>
      </w:r>
      <w:r>
        <w:t>)</w:t>
      </w:r>
      <w:r w:rsidR="000F229E" w:rsidRPr="000F229E">
        <w:t xml:space="preserve"> Director Roger </w:t>
      </w:r>
      <w:proofErr w:type="spellStart"/>
      <w:r w:rsidR="000F229E" w:rsidRPr="000F229E">
        <w:t>Severino</w:t>
      </w:r>
      <w:proofErr w:type="spellEnd"/>
      <w:r w:rsidR="000F229E" w:rsidRPr="000F229E">
        <w:t xml:space="preserve"> talked about the latest </w:t>
      </w:r>
      <w:r w:rsidR="000F229E">
        <w:t>civil money penalties (</w:t>
      </w:r>
      <w:r w:rsidR="000F229E" w:rsidRPr="000F229E">
        <w:t>CMPs</w:t>
      </w:r>
      <w:r w:rsidR="000F229E">
        <w:t xml:space="preserve">) totaling </w:t>
      </w:r>
      <w:r w:rsidR="000F229E" w:rsidRPr="000F229E">
        <w:t xml:space="preserve">$28.6M with </w:t>
      </w:r>
      <w:r w:rsidR="000F229E">
        <w:t xml:space="preserve">a single fine of </w:t>
      </w:r>
      <w:r w:rsidR="000F229E" w:rsidRPr="000F229E">
        <w:t>$16</w:t>
      </w:r>
      <w:r w:rsidR="00D50140">
        <w:t xml:space="preserve"> million</w:t>
      </w:r>
      <w:r w:rsidR="000F229E" w:rsidRPr="000F229E">
        <w:t xml:space="preserve"> to Anthem in October 2018.  </w:t>
      </w:r>
    </w:p>
    <w:p w:rsidR="000F229E" w:rsidRPr="000F229E" w:rsidRDefault="000F229E" w:rsidP="000F229E">
      <w:pPr>
        <w:pStyle w:val="ListParagraph"/>
        <w:numPr>
          <w:ilvl w:val="1"/>
          <w:numId w:val="2"/>
        </w:numPr>
        <w:spacing w:before="100" w:after="200" w:line="276" w:lineRule="auto"/>
      </w:pPr>
      <w:r w:rsidRPr="000F229E">
        <w:t xml:space="preserve">OCR Director Roger </w:t>
      </w:r>
      <w:proofErr w:type="spellStart"/>
      <w:r w:rsidRPr="000F229E">
        <w:t>Severino</w:t>
      </w:r>
      <w:proofErr w:type="spellEnd"/>
      <w:r w:rsidRPr="000F229E">
        <w:t xml:space="preserve"> talked about enforcement activities and that OCR will also make business associate compliance and patient access a priority. </w:t>
      </w:r>
    </w:p>
    <w:p w:rsidR="000F229E" w:rsidRPr="000F229E" w:rsidRDefault="000F229E" w:rsidP="000F229E">
      <w:pPr>
        <w:pStyle w:val="ListParagraph"/>
        <w:numPr>
          <w:ilvl w:val="1"/>
          <w:numId w:val="2"/>
        </w:numPr>
        <w:spacing w:before="100" w:after="200" w:line="276" w:lineRule="auto"/>
      </w:pPr>
      <w:r w:rsidRPr="000F229E">
        <w:t xml:space="preserve">OCR reviews have identified a trend in issues with risk assessments that they review: </w:t>
      </w:r>
    </w:p>
    <w:p w:rsidR="000F229E" w:rsidRPr="000F229E" w:rsidRDefault="000F229E" w:rsidP="000F229E">
      <w:pPr>
        <w:pStyle w:val="ListParagraph"/>
        <w:numPr>
          <w:ilvl w:val="2"/>
          <w:numId w:val="2"/>
        </w:numPr>
        <w:spacing w:before="100" w:after="200" w:line="276" w:lineRule="auto"/>
      </w:pPr>
      <w:r w:rsidRPr="000F229E">
        <w:t xml:space="preserve">Risk </w:t>
      </w:r>
      <w:r>
        <w:t>a</w:t>
      </w:r>
      <w:r w:rsidRPr="000F229E">
        <w:t xml:space="preserve">ssessments have been found to not be accurate or thorough enough.  Assessments should include </w:t>
      </w:r>
      <w:r w:rsidR="00AC562C">
        <w:t>electronic</w:t>
      </w:r>
      <w:r w:rsidR="00D50140">
        <w:t xml:space="preserve"> protected health information</w:t>
      </w:r>
      <w:r w:rsidR="00AC562C">
        <w:t xml:space="preserve"> (</w:t>
      </w:r>
      <w:proofErr w:type="spellStart"/>
      <w:r w:rsidRPr="000F229E">
        <w:t>ePHI</w:t>
      </w:r>
      <w:proofErr w:type="spellEnd"/>
      <w:r w:rsidR="00AC562C">
        <w:t>)</w:t>
      </w:r>
      <w:r w:rsidRPr="000F229E">
        <w:t xml:space="preserve"> risks and vulnerabilities; not just technical scans or just physical risks.</w:t>
      </w:r>
    </w:p>
    <w:p w:rsidR="000F229E" w:rsidRPr="000F229E" w:rsidRDefault="000F229E" w:rsidP="000F229E">
      <w:pPr>
        <w:pStyle w:val="ListParagraph"/>
        <w:numPr>
          <w:ilvl w:val="2"/>
          <w:numId w:val="2"/>
        </w:numPr>
        <w:spacing w:before="100" w:after="200" w:line="276" w:lineRule="auto"/>
      </w:pPr>
      <w:r w:rsidRPr="000F229E">
        <w:t xml:space="preserve">Scope of risk assessments should be enterprise-wide and include all systems where </w:t>
      </w:r>
      <w:proofErr w:type="spellStart"/>
      <w:r w:rsidRPr="000F229E">
        <w:t>ePHI</w:t>
      </w:r>
      <w:proofErr w:type="spellEnd"/>
      <w:r w:rsidRPr="000F229E">
        <w:t xml:space="preserve"> is stored, transmitted, or maintained.  Include a map of where the </w:t>
      </w:r>
      <w:proofErr w:type="spellStart"/>
      <w:r w:rsidRPr="000F229E">
        <w:t>ePHI</w:t>
      </w:r>
      <w:proofErr w:type="spellEnd"/>
      <w:r w:rsidRPr="000F229E">
        <w:t xml:space="preserve"> flows and through what systems.</w:t>
      </w:r>
    </w:p>
    <w:p w:rsidR="000F229E" w:rsidRPr="000F229E" w:rsidRDefault="000F229E" w:rsidP="000F229E">
      <w:pPr>
        <w:pStyle w:val="ListParagraph"/>
        <w:numPr>
          <w:ilvl w:val="1"/>
          <w:numId w:val="2"/>
        </w:numPr>
        <w:spacing w:before="100" w:after="200" w:line="276" w:lineRule="auto"/>
        <w:rPr>
          <w:rFonts w:cstheme="minorHAnsi"/>
        </w:rPr>
      </w:pPr>
      <w:r w:rsidRPr="000F229E">
        <w:rPr>
          <w:rFonts w:cstheme="minorHAnsi"/>
        </w:rPr>
        <w:t xml:space="preserve">HHS </w:t>
      </w:r>
      <w:r w:rsidR="00AC562C">
        <w:rPr>
          <w:rFonts w:cstheme="minorHAnsi"/>
        </w:rPr>
        <w:t xml:space="preserve">Chief Technology </w:t>
      </w:r>
      <w:r w:rsidR="00D50140">
        <w:rPr>
          <w:rFonts w:cstheme="minorHAnsi"/>
        </w:rPr>
        <w:t>Officer</w:t>
      </w:r>
      <w:r w:rsidR="00AC562C">
        <w:rPr>
          <w:rFonts w:cstheme="minorHAnsi"/>
        </w:rPr>
        <w:t xml:space="preserve"> </w:t>
      </w:r>
      <w:r w:rsidRPr="000F229E">
        <w:rPr>
          <w:rFonts w:cstheme="minorHAnsi"/>
        </w:rPr>
        <w:t xml:space="preserve">Ed </w:t>
      </w:r>
      <w:proofErr w:type="spellStart"/>
      <w:r w:rsidRPr="000F229E">
        <w:rPr>
          <w:rFonts w:cstheme="minorHAnsi"/>
        </w:rPr>
        <w:t>Simcox</w:t>
      </w:r>
      <w:proofErr w:type="spellEnd"/>
      <w:r w:rsidRPr="000F229E">
        <w:rPr>
          <w:rFonts w:cstheme="minorHAnsi"/>
        </w:rPr>
        <w:t xml:space="preserve"> referenced the</w:t>
      </w:r>
      <w:r w:rsidRPr="000F229E">
        <w:rPr>
          <w:rFonts w:cstheme="minorHAnsi"/>
          <w:color w:val="262524"/>
        </w:rPr>
        <w:t xml:space="preserve"> primary publication of the </w:t>
      </w:r>
      <w:r w:rsidRPr="000F229E">
        <w:rPr>
          <w:rFonts w:cstheme="minorHAnsi"/>
        </w:rPr>
        <w:t>Cybersecurity</w:t>
      </w:r>
      <w:r w:rsidRPr="000F229E">
        <w:rPr>
          <w:rFonts w:cstheme="minorHAnsi"/>
          <w:color w:val="262524"/>
        </w:rPr>
        <w:t xml:space="preserve"> Act of 2015, Section 405(d) Task Group, which aims to raise awareness, provide vetted cybersecurity practices, and move organizations towards consistency in mitigating the current most pertinent </w:t>
      </w:r>
      <w:r w:rsidRPr="000F229E">
        <w:rPr>
          <w:rFonts w:cstheme="minorHAnsi"/>
        </w:rPr>
        <w:t>cybersecurity</w:t>
      </w:r>
      <w:r w:rsidRPr="000F229E">
        <w:rPr>
          <w:rFonts w:cstheme="minorHAnsi"/>
          <w:color w:val="262524"/>
        </w:rPr>
        <w:t xml:space="preserve"> threats to the sector. It seeks to aid healthcare and public health organizations to develop meaningful cybersecurity </w:t>
      </w:r>
      <w:r w:rsidRPr="000F229E">
        <w:rPr>
          <w:rFonts w:cstheme="minorHAnsi"/>
          <w:color w:val="262524"/>
        </w:rPr>
        <w:lastRenderedPageBreak/>
        <w:t xml:space="preserve">objectives and outcomes. See </w:t>
      </w:r>
      <w:r w:rsidR="00AC562C">
        <w:rPr>
          <w:rFonts w:cstheme="minorHAnsi"/>
          <w:color w:val="262524"/>
        </w:rPr>
        <w:t xml:space="preserve">the </w:t>
      </w:r>
      <w:hyperlink r:id="rId7" w:history="1">
        <w:r w:rsidR="00AC562C" w:rsidRPr="00AC562C">
          <w:rPr>
            <w:rStyle w:val="Hyperlink"/>
            <w:rFonts w:cstheme="minorHAnsi"/>
          </w:rPr>
          <w:t>Public Health Emergency site</w:t>
        </w:r>
      </w:hyperlink>
      <w:r w:rsidR="00AC562C">
        <w:rPr>
          <w:rFonts w:cstheme="minorHAnsi"/>
          <w:color w:val="262524"/>
        </w:rPr>
        <w:t xml:space="preserve"> </w:t>
      </w:r>
      <w:r w:rsidRPr="000F229E">
        <w:rPr>
          <w:rFonts w:cstheme="minorHAnsi"/>
          <w:color w:val="262524"/>
        </w:rPr>
        <w:t>for additional information. </w:t>
      </w:r>
    </w:p>
    <w:p w:rsidR="007E3477" w:rsidRPr="007E3477" w:rsidRDefault="007E3477" w:rsidP="007E3477">
      <w:pPr>
        <w:pStyle w:val="IntenseQuote"/>
        <w:rPr>
          <w:b/>
          <w:sz w:val="28"/>
          <w:szCs w:val="28"/>
        </w:rPr>
      </w:pPr>
      <w:r w:rsidRPr="007E3477">
        <w:rPr>
          <w:b/>
          <w:sz w:val="28"/>
          <w:szCs w:val="28"/>
        </w:rPr>
        <w:t>HHS News</w:t>
      </w:r>
    </w:p>
    <w:p w:rsidR="009F48B5" w:rsidRDefault="00E85281" w:rsidP="007E3477">
      <w:pPr>
        <w:pStyle w:val="ListParagraph"/>
        <w:numPr>
          <w:ilvl w:val="0"/>
          <w:numId w:val="2"/>
        </w:numPr>
        <w:spacing w:before="100" w:after="200" w:line="276" w:lineRule="auto"/>
      </w:pPr>
      <w:r w:rsidRPr="007C2D7E">
        <w:rPr>
          <w:b/>
        </w:rPr>
        <w:t xml:space="preserve">Federal </w:t>
      </w:r>
      <w:r w:rsidR="009F48B5" w:rsidRPr="007C2D7E">
        <w:rPr>
          <w:b/>
        </w:rPr>
        <w:t>Notice of Proposed Rulemaking (NPRM)</w:t>
      </w:r>
      <w:r w:rsidRPr="007C2D7E">
        <w:rPr>
          <w:b/>
        </w:rPr>
        <w:t xml:space="preserve"> </w:t>
      </w:r>
      <w:r w:rsidR="007C2D7E" w:rsidRPr="007C2D7E">
        <w:rPr>
          <w:b/>
        </w:rPr>
        <w:t>Update</w:t>
      </w:r>
      <w:r w:rsidR="007C2D7E">
        <w:t xml:space="preserve"> -  </w:t>
      </w:r>
    </w:p>
    <w:p w:rsidR="00231C03" w:rsidRDefault="00231C03" w:rsidP="007D1D19">
      <w:pPr>
        <w:pStyle w:val="ListParagraph"/>
        <w:numPr>
          <w:ilvl w:val="1"/>
          <w:numId w:val="2"/>
        </w:numPr>
        <w:spacing w:before="100" w:after="200" w:line="276" w:lineRule="auto"/>
      </w:pPr>
      <w:r w:rsidRPr="00E85281">
        <w:rPr>
          <w:b/>
        </w:rPr>
        <w:t xml:space="preserve">OCR </w:t>
      </w:r>
      <w:r w:rsidR="00AC562C">
        <w:rPr>
          <w:b/>
        </w:rPr>
        <w:t>Request for Information (</w:t>
      </w:r>
      <w:r w:rsidRPr="00E85281">
        <w:rPr>
          <w:b/>
        </w:rPr>
        <w:t>RFI</w:t>
      </w:r>
      <w:r w:rsidR="00AC562C">
        <w:rPr>
          <w:b/>
        </w:rPr>
        <w:t>)</w:t>
      </w:r>
      <w:r w:rsidR="007C2D7E">
        <w:rPr>
          <w:b/>
        </w:rPr>
        <w:t>:</w:t>
      </w:r>
      <w:r w:rsidR="00E85281" w:rsidRPr="00E85281">
        <w:rPr>
          <w:b/>
        </w:rPr>
        <w:t xml:space="preserve"> </w:t>
      </w:r>
      <w:r w:rsidR="007C2D7E" w:rsidRPr="007C2D7E">
        <w:rPr>
          <w:b/>
        </w:rPr>
        <w:t>Modifying HIPAA Rules to Improve Coordinated Care</w:t>
      </w:r>
      <w:r w:rsidR="007C2D7E">
        <w:rPr>
          <w:b/>
        </w:rPr>
        <w:t xml:space="preserve"> </w:t>
      </w:r>
      <w:r w:rsidR="007C2D7E" w:rsidRPr="00E85281">
        <w:rPr>
          <w:b/>
        </w:rPr>
        <w:t>(</w:t>
      </w:r>
      <w:r w:rsidR="00AC562C">
        <w:rPr>
          <w:b/>
        </w:rPr>
        <w:t>Regulation Identification Number [</w:t>
      </w:r>
      <w:r w:rsidR="007C2D7E" w:rsidRPr="00E85281">
        <w:rPr>
          <w:b/>
        </w:rPr>
        <w:t>RIN</w:t>
      </w:r>
      <w:r w:rsidR="00AC562C">
        <w:rPr>
          <w:b/>
        </w:rPr>
        <w:t>]</w:t>
      </w:r>
      <w:r w:rsidR="007C2D7E" w:rsidRPr="00E85281">
        <w:rPr>
          <w:b/>
        </w:rPr>
        <w:t>-0945-AA00)</w:t>
      </w:r>
      <w:r w:rsidR="007C2D7E">
        <w:rPr>
          <w:rFonts w:ascii="Arial" w:hAnsi="Arial" w:cs="Arial"/>
        </w:rPr>
        <w:t xml:space="preserve"> </w:t>
      </w:r>
      <w:r>
        <w:t>–</w:t>
      </w:r>
      <w:r w:rsidR="00E85281">
        <w:t xml:space="preserve"> </w:t>
      </w:r>
      <w:r>
        <w:t>due to changes in the review proc</w:t>
      </w:r>
      <w:r w:rsidR="007D1D19">
        <w:t>ess with the new Administration, we</w:t>
      </w:r>
      <w:r w:rsidR="009C13FB">
        <w:t xml:space="preserve"> have contacted OCR and </w:t>
      </w:r>
      <w:r w:rsidR="007D1D19">
        <w:t>will be submitting the State’s response late.</w:t>
      </w:r>
      <w:r w:rsidR="006A7280">
        <w:t xml:space="preserve">  OCR has released all </w:t>
      </w:r>
      <w:hyperlink r:id="rId8" w:history="1">
        <w:r w:rsidR="006A7280" w:rsidRPr="006A7280">
          <w:rPr>
            <w:rStyle w:val="Hyperlink"/>
          </w:rPr>
          <w:t>comments</w:t>
        </w:r>
      </w:hyperlink>
      <w:r w:rsidR="006A7280">
        <w:t xml:space="preserve"> for public review.</w:t>
      </w:r>
    </w:p>
    <w:p w:rsidR="00231C03" w:rsidRDefault="00AC562C" w:rsidP="005C7F3C">
      <w:pPr>
        <w:pStyle w:val="ListParagraph"/>
        <w:numPr>
          <w:ilvl w:val="1"/>
          <w:numId w:val="2"/>
        </w:numPr>
        <w:spacing w:before="100" w:after="200" w:line="276" w:lineRule="auto"/>
      </w:pPr>
      <w:r>
        <w:rPr>
          <w:b/>
        </w:rPr>
        <w:t>National Council for Prescription Drug Programs (</w:t>
      </w:r>
      <w:r w:rsidR="00231C03" w:rsidRPr="007C2D7E">
        <w:rPr>
          <w:b/>
        </w:rPr>
        <w:t>NCPDP</w:t>
      </w:r>
      <w:r>
        <w:rPr>
          <w:b/>
        </w:rPr>
        <w:t>)</w:t>
      </w:r>
      <w:r w:rsidR="00231C03" w:rsidRPr="007C2D7E">
        <w:rPr>
          <w:b/>
        </w:rPr>
        <w:t xml:space="preserve"> NPRM</w:t>
      </w:r>
      <w:r w:rsidR="007C2D7E" w:rsidRPr="007C2D7E">
        <w:rPr>
          <w:b/>
        </w:rPr>
        <w:t xml:space="preserve"> Modification of the Requirements for use of the HIPAA NCPDP D.0 Standard </w:t>
      </w:r>
      <w:r w:rsidR="00E85281" w:rsidRPr="007C2D7E">
        <w:rPr>
          <w:b/>
        </w:rPr>
        <w:t>(RIN-0938-AT52)</w:t>
      </w:r>
      <w:r w:rsidR="00E85281">
        <w:t xml:space="preserve"> </w:t>
      </w:r>
      <w:r w:rsidR="00231C03">
        <w:t>– CalOHII did not re</w:t>
      </w:r>
      <w:r w:rsidR="007D1D19">
        <w:t>ceive any comments on this NPRM and therefore will not be submitting a response.</w:t>
      </w:r>
    </w:p>
    <w:p w:rsidR="00231C03" w:rsidRDefault="00D50140" w:rsidP="007D1D19">
      <w:pPr>
        <w:pStyle w:val="ListParagraph"/>
        <w:numPr>
          <w:ilvl w:val="1"/>
          <w:numId w:val="2"/>
        </w:numPr>
        <w:spacing w:before="100" w:after="200" w:line="276" w:lineRule="auto"/>
      </w:pPr>
      <w:r>
        <w:rPr>
          <w:b/>
        </w:rPr>
        <w:t>Centers for Medicare and Medicaid Systems (</w:t>
      </w:r>
      <w:r w:rsidR="00231C03" w:rsidRPr="00E85281">
        <w:rPr>
          <w:b/>
        </w:rPr>
        <w:t>CMS</w:t>
      </w:r>
      <w:r>
        <w:rPr>
          <w:b/>
        </w:rPr>
        <w:t>)</w:t>
      </w:r>
      <w:r w:rsidR="00231C03" w:rsidRPr="00E85281">
        <w:rPr>
          <w:b/>
        </w:rPr>
        <w:t xml:space="preserve"> and </w:t>
      </w:r>
      <w:r>
        <w:rPr>
          <w:b/>
        </w:rPr>
        <w:t>Office of the National Coordinator for Health Information Technology (</w:t>
      </w:r>
      <w:r w:rsidR="00231C03" w:rsidRPr="00E85281">
        <w:rPr>
          <w:b/>
        </w:rPr>
        <w:t>ONC</w:t>
      </w:r>
      <w:r>
        <w:rPr>
          <w:b/>
        </w:rPr>
        <w:t>)</w:t>
      </w:r>
      <w:r w:rsidR="00231C03" w:rsidRPr="00E85281">
        <w:rPr>
          <w:b/>
        </w:rPr>
        <w:t xml:space="preserve"> have released NPRMs</w:t>
      </w:r>
      <w:r w:rsidR="00231C03">
        <w:t xml:space="preserve"> –</w:t>
      </w:r>
      <w:r>
        <w:t xml:space="preserve"> </w:t>
      </w:r>
      <w:r w:rsidR="009A2EA4">
        <w:t xml:space="preserve">Although there is reference to HIPAA in the CMS NPRM, it does not propose to make changes to any of the HIPAA regulations.  The </w:t>
      </w:r>
      <w:r w:rsidR="00CC4E65">
        <w:t>NPRMs related to interoperability and other 21</w:t>
      </w:r>
      <w:r w:rsidR="00CC4E65" w:rsidRPr="00CC4E65">
        <w:rPr>
          <w:vertAlign w:val="superscript"/>
        </w:rPr>
        <w:t>st</w:t>
      </w:r>
      <w:r w:rsidR="00CC4E65">
        <w:t xml:space="preserve"> Century Cures Act items </w:t>
      </w:r>
      <w:r w:rsidR="009A2EA4">
        <w:t>are</w:t>
      </w:r>
      <w:r w:rsidR="00231C03">
        <w:t xml:space="preserve"> link</w:t>
      </w:r>
      <w:r w:rsidR="009A2EA4">
        <w:t>ed</w:t>
      </w:r>
      <w:r w:rsidR="00231C03">
        <w:t xml:space="preserve"> below</w:t>
      </w:r>
      <w:r w:rsidR="009A2EA4">
        <w:t xml:space="preserve">.  Comments are due May 3, 2019 for both NPRMs.  </w:t>
      </w:r>
    </w:p>
    <w:p w:rsidR="00231C03" w:rsidRDefault="00231C03" w:rsidP="007D1D19">
      <w:pPr>
        <w:pStyle w:val="ListParagraph"/>
        <w:numPr>
          <w:ilvl w:val="2"/>
          <w:numId w:val="2"/>
        </w:numPr>
        <w:spacing w:before="100" w:after="200" w:line="276" w:lineRule="auto"/>
      </w:pPr>
      <w:r w:rsidRPr="00E85281">
        <w:rPr>
          <w:b/>
        </w:rPr>
        <w:t>CMS</w:t>
      </w:r>
      <w:r w:rsidR="00E85281" w:rsidRPr="00E85281">
        <w:rPr>
          <w:b/>
        </w:rPr>
        <w:t xml:space="preserve"> (RIN-0938-AT79)</w:t>
      </w:r>
      <w:r>
        <w:t xml:space="preserve"> -  </w:t>
      </w:r>
      <w:hyperlink r:id="rId9" w:history="1">
        <w:r>
          <w:rPr>
            <w:rStyle w:val="Hyperlink"/>
          </w:rPr>
          <w:t xml:space="preserve">Medicare and Medicaid Programs; Patient Protection and Affordable Care Act; Interoperability and Patient Access for Medicare Advantage Organization and Medicaid Managed Care Plans, State Medicaid Agencies, </w:t>
        </w:r>
        <w:r w:rsidR="00D50140">
          <w:rPr>
            <w:rStyle w:val="Hyperlink"/>
          </w:rPr>
          <w:t>Children’s Health Insurance Program (</w:t>
        </w:r>
        <w:r>
          <w:rPr>
            <w:rStyle w:val="Hyperlink"/>
          </w:rPr>
          <w:t>CHIP</w:t>
        </w:r>
        <w:r w:rsidR="00D50140">
          <w:rPr>
            <w:rStyle w:val="Hyperlink"/>
          </w:rPr>
          <w:t>)</w:t>
        </w:r>
        <w:r>
          <w:rPr>
            <w:rStyle w:val="Hyperlink"/>
          </w:rPr>
          <w:t xml:space="preserve"> Agencies and CHIP Managed Care Entities, Issuers of Qualified Health Plans in the Federally-facilitated Exchanges and Health Care Providers</w:t>
        </w:r>
      </w:hyperlink>
    </w:p>
    <w:p w:rsidR="00231C03" w:rsidRDefault="00231C03" w:rsidP="007D1D19">
      <w:pPr>
        <w:pStyle w:val="ListParagraph"/>
        <w:numPr>
          <w:ilvl w:val="2"/>
          <w:numId w:val="2"/>
        </w:numPr>
        <w:spacing w:before="100" w:after="200" w:line="276" w:lineRule="auto"/>
      </w:pPr>
      <w:r w:rsidRPr="00E85281">
        <w:rPr>
          <w:b/>
        </w:rPr>
        <w:t>ONC</w:t>
      </w:r>
      <w:r w:rsidR="00E85281" w:rsidRPr="00E85281">
        <w:rPr>
          <w:b/>
        </w:rPr>
        <w:t xml:space="preserve"> (RIN-0955-AA01)</w:t>
      </w:r>
      <w:r>
        <w:t xml:space="preserve"> -</w:t>
      </w:r>
      <w:hyperlink r:id="rId10" w:history="1">
        <w:r w:rsidRPr="00CC4E65">
          <w:rPr>
            <w:rStyle w:val="Hyperlink"/>
          </w:rPr>
          <w:t xml:space="preserve"> </w:t>
        </w:r>
        <w:r w:rsidRPr="00CC4E65">
          <w:rPr>
            <w:rStyle w:val="Hyperlink"/>
            <w:sz w:val="23"/>
            <w:szCs w:val="23"/>
          </w:rPr>
          <w:t>21</w:t>
        </w:r>
        <w:r w:rsidRPr="00CC4E65">
          <w:rPr>
            <w:rStyle w:val="Hyperlink"/>
            <w:sz w:val="16"/>
            <w:szCs w:val="16"/>
          </w:rPr>
          <w:t xml:space="preserve">st </w:t>
        </w:r>
        <w:r w:rsidRPr="00CC4E65">
          <w:rPr>
            <w:rStyle w:val="Hyperlink"/>
            <w:sz w:val="23"/>
            <w:szCs w:val="23"/>
          </w:rPr>
          <w:t>Century Cures Act: Interoperability, Information Blocking, and the ONC Health IT Certification Program</w:t>
        </w:r>
      </w:hyperlink>
    </w:p>
    <w:p w:rsidR="00231C03" w:rsidRDefault="00414855" w:rsidP="007D1D19">
      <w:pPr>
        <w:pStyle w:val="ListParagraph"/>
        <w:numPr>
          <w:ilvl w:val="0"/>
          <w:numId w:val="2"/>
        </w:numPr>
        <w:spacing w:before="100" w:after="200" w:line="276" w:lineRule="auto"/>
      </w:pPr>
      <w:hyperlink r:id="rId11" w:history="1">
        <w:r w:rsidR="00231C03" w:rsidRPr="007D1D19">
          <w:rPr>
            <w:rStyle w:val="Hyperlink"/>
          </w:rPr>
          <w:t>OCR concludes all-time record year for HIPAA enforcement</w:t>
        </w:r>
      </w:hyperlink>
      <w:r w:rsidR="00231C03">
        <w:t xml:space="preserve"> with $3 million Cottage Health settlement</w:t>
      </w:r>
      <w:r w:rsidR="00231C03">
        <w:rPr>
          <w:b/>
          <w:bCs/>
          <w:i/>
          <w:iCs/>
        </w:rPr>
        <w:t>.</w:t>
      </w:r>
      <w:r w:rsidR="007D1D19">
        <w:rPr>
          <w:b/>
          <w:bCs/>
          <w:i/>
          <w:iCs/>
        </w:rPr>
        <w:t xml:space="preserve">  </w:t>
      </w:r>
      <w:r w:rsidR="007D1D19">
        <w:rPr>
          <w:bCs/>
          <w:iCs/>
        </w:rPr>
        <w:t>Highlights from the OCR communication include:</w:t>
      </w:r>
    </w:p>
    <w:p w:rsidR="00231C03" w:rsidRDefault="00231C03" w:rsidP="007D1D19">
      <w:pPr>
        <w:pStyle w:val="ListParagraph"/>
        <w:numPr>
          <w:ilvl w:val="1"/>
          <w:numId w:val="2"/>
        </w:numPr>
        <w:spacing w:before="100" w:after="200" w:line="276" w:lineRule="auto"/>
      </w:pPr>
      <w:r>
        <w:t>Cottage Health left a server accessible to the internet due to a flaw in security configuration</w:t>
      </w:r>
      <w:r w:rsidR="00BB6EFB">
        <w:t xml:space="preserve"> settings – revealing over 62,000</w:t>
      </w:r>
      <w:r>
        <w:t xml:space="preserve"> patients’ data.  Two years later they ha</w:t>
      </w:r>
      <w:r w:rsidR="009C13FB">
        <w:t>d</w:t>
      </w:r>
      <w:r>
        <w:t xml:space="preserve"> another served misconfigured.</w:t>
      </w:r>
    </w:p>
    <w:p w:rsidR="00231C03" w:rsidRDefault="00231C03" w:rsidP="007D1D19">
      <w:pPr>
        <w:pStyle w:val="ListParagraph"/>
        <w:numPr>
          <w:ilvl w:val="1"/>
          <w:numId w:val="2"/>
        </w:numPr>
        <w:spacing w:before="100" w:after="200" w:line="276" w:lineRule="auto"/>
      </w:pPr>
      <w:r>
        <w:t xml:space="preserve">In 2018, OCR settled 10 cases and was granted summary judgment in a case before an Administrative Law Judge, together totaling $28.7 million from enforcement actions. This total surpassed the previous record of $23.5 million from 2016 by 22 percent.  </w:t>
      </w:r>
    </w:p>
    <w:p w:rsidR="00231C03" w:rsidRDefault="00231C03" w:rsidP="007D1D19">
      <w:pPr>
        <w:pStyle w:val="ListParagraph"/>
        <w:numPr>
          <w:ilvl w:val="1"/>
          <w:numId w:val="2"/>
        </w:numPr>
        <w:spacing w:before="100" w:after="200" w:line="276" w:lineRule="auto"/>
      </w:pPr>
      <w:r>
        <w:t xml:space="preserve">In addition, OCR achieved the single largest individual HIPAA settlement in history of $16 million with Anthem, Inc., representing a nearly three-fold increase over the previous record settlement of $5.5 million in 2016.  </w:t>
      </w:r>
    </w:p>
    <w:p w:rsidR="000F229E" w:rsidRPr="00C943D5" w:rsidRDefault="00231C03" w:rsidP="000F229E">
      <w:pPr>
        <w:pStyle w:val="ListParagraph"/>
        <w:numPr>
          <w:ilvl w:val="2"/>
          <w:numId w:val="2"/>
        </w:numPr>
        <w:spacing w:before="100" w:after="200" w:line="276" w:lineRule="auto"/>
      </w:pPr>
      <w:r>
        <w:lastRenderedPageBreak/>
        <w:t xml:space="preserve">A </w:t>
      </w:r>
      <w:hyperlink r:id="rId12" w:history="1">
        <w:r>
          <w:rPr>
            <w:rStyle w:val="Hyperlink"/>
          </w:rPr>
          <w:t>related article</w:t>
        </w:r>
      </w:hyperlink>
      <w:r>
        <w:t xml:space="preserve"> on the enforcement actions </w:t>
      </w:r>
      <w:r w:rsidR="00E85281">
        <w:t xml:space="preserve">illustrates the </w:t>
      </w:r>
      <w:r>
        <w:t xml:space="preserve">themes of the actions are consistent with other years (i.e. lack of </w:t>
      </w:r>
      <w:r w:rsidR="00D50140">
        <w:t>business associate agreements</w:t>
      </w:r>
      <w:r>
        <w:t>, risk analysis)</w:t>
      </w:r>
      <w:r w:rsidR="000F229E">
        <w:t>.</w:t>
      </w:r>
    </w:p>
    <w:p w:rsidR="007E3477" w:rsidRPr="007E3477" w:rsidRDefault="007E3477" w:rsidP="007E3477">
      <w:pPr>
        <w:pStyle w:val="IntenseQuote"/>
        <w:rPr>
          <w:b/>
          <w:sz w:val="28"/>
          <w:szCs w:val="28"/>
        </w:rPr>
      </w:pPr>
      <w:r w:rsidRPr="007E3477">
        <w:rPr>
          <w:b/>
          <w:sz w:val="28"/>
          <w:szCs w:val="28"/>
        </w:rPr>
        <w:t>Other News</w:t>
      </w:r>
    </w:p>
    <w:p w:rsidR="00231C03" w:rsidRDefault="00414855" w:rsidP="00E85281">
      <w:pPr>
        <w:pStyle w:val="ListParagraph"/>
        <w:numPr>
          <w:ilvl w:val="0"/>
          <w:numId w:val="2"/>
        </w:numPr>
        <w:spacing w:before="100" w:after="200" w:line="276" w:lineRule="auto"/>
      </w:pPr>
      <w:hyperlink r:id="rId13" w:history="1">
        <w:r w:rsidR="00231C03" w:rsidRPr="00231C03">
          <w:rPr>
            <w:rStyle w:val="Hyperlink"/>
            <w:b/>
          </w:rPr>
          <w:t>Why complete an enterprise risk assessment?</w:t>
        </w:r>
      </w:hyperlink>
      <w:r w:rsidR="00231C03" w:rsidRPr="00231C03">
        <w:rPr>
          <w:b/>
        </w:rPr>
        <w:t xml:space="preserve"> </w:t>
      </w:r>
      <w:r w:rsidR="00231C03">
        <w:t xml:space="preserve">– </w:t>
      </w:r>
      <w:proofErr w:type="gramStart"/>
      <w:r w:rsidR="00231C03">
        <w:t>this</w:t>
      </w:r>
      <w:proofErr w:type="gramEnd"/>
      <w:r w:rsidR="00231C03">
        <w:t xml:space="preserve"> article, while written for private sector, addresses the concept of “enterprise-wide” risk assessments.  OCR has recently noted risk assessments are too narrowly focuse</w:t>
      </w:r>
      <w:r w:rsidR="000F229E">
        <w:t xml:space="preserve">d and should be enterprise-wide (see </w:t>
      </w:r>
      <w:r w:rsidR="00B54602">
        <w:t>HIMSS conference notes above for related information</w:t>
      </w:r>
      <w:r w:rsidR="000F229E">
        <w:t>).</w:t>
      </w:r>
    </w:p>
    <w:p w:rsidR="00231C03" w:rsidRDefault="00414855" w:rsidP="00E85281">
      <w:pPr>
        <w:pStyle w:val="ListParagraph"/>
        <w:numPr>
          <w:ilvl w:val="0"/>
          <w:numId w:val="2"/>
        </w:numPr>
        <w:spacing w:before="100" w:after="200" w:line="276" w:lineRule="auto"/>
      </w:pPr>
      <w:hyperlink r:id="rId14" w:history="1">
        <w:r w:rsidR="00231C03" w:rsidRPr="00231C03">
          <w:rPr>
            <w:rStyle w:val="Hyperlink"/>
            <w:b/>
          </w:rPr>
          <w:t>OCR is getting more patient complaints</w:t>
        </w:r>
      </w:hyperlink>
      <w:r w:rsidR="00231C03">
        <w:t xml:space="preserve"> – the largest number due to reporting breaches.  </w:t>
      </w:r>
    </w:p>
    <w:p w:rsidR="00231C03" w:rsidRDefault="00414855" w:rsidP="00E85281">
      <w:pPr>
        <w:pStyle w:val="ListParagraph"/>
        <w:numPr>
          <w:ilvl w:val="0"/>
          <w:numId w:val="2"/>
        </w:numPr>
        <w:spacing w:before="100" w:after="200" w:line="276" w:lineRule="auto"/>
      </w:pPr>
      <w:hyperlink r:id="rId15" w:history="1">
        <w:r w:rsidR="00231C03" w:rsidRPr="00231C03">
          <w:rPr>
            <w:rStyle w:val="Hyperlink"/>
            <w:b/>
          </w:rPr>
          <w:t>Two-Factor Authentication: A Top Priority for HIPAA Compliance</w:t>
        </w:r>
      </w:hyperlink>
      <w:r w:rsidR="00231C03">
        <w:t xml:space="preserve"> – this article </w:t>
      </w:r>
      <w:r w:rsidR="00D50140">
        <w:t>provides information about how two</w:t>
      </w:r>
      <w:r w:rsidR="00231C03">
        <w:t>-factor authentication is “the best way to comply with the HIPAA password requirements.”</w:t>
      </w:r>
    </w:p>
    <w:p w:rsidR="00231C03" w:rsidRDefault="00414855" w:rsidP="00E85281">
      <w:pPr>
        <w:pStyle w:val="ListParagraph"/>
        <w:numPr>
          <w:ilvl w:val="0"/>
          <w:numId w:val="2"/>
        </w:numPr>
        <w:spacing w:before="100" w:after="200" w:line="276" w:lineRule="auto"/>
      </w:pPr>
      <w:hyperlink r:id="rId16" w:history="1">
        <w:r w:rsidR="00231C03" w:rsidRPr="00231C03">
          <w:rPr>
            <w:rStyle w:val="Hyperlink"/>
            <w:b/>
          </w:rPr>
          <w:t>A summary of 2018 healthcare data breaches</w:t>
        </w:r>
      </w:hyperlink>
      <w:r w:rsidR="00231C03">
        <w:t xml:space="preserve"> – while the number of data breaches slightly increased, the number of health records impacted nearly tripled.  “Insiders” continues to account for the largest percent (28.09%) – this can be due to human error or wrongdoing. </w:t>
      </w:r>
    </w:p>
    <w:p w:rsidR="00231C03" w:rsidRDefault="00414855" w:rsidP="00E85281">
      <w:pPr>
        <w:pStyle w:val="ListParagraph"/>
        <w:numPr>
          <w:ilvl w:val="0"/>
          <w:numId w:val="2"/>
        </w:numPr>
        <w:spacing w:before="100" w:after="200" w:line="276" w:lineRule="auto"/>
      </w:pPr>
      <w:hyperlink r:id="rId17" w:history="1">
        <w:r w:rsidR="00231C03" w:rsidRPr="00231C03">
          <w:rPr>
            <w:rStyle w:val="Hyperlink"/>
            <w:b/>
          </w:rPr>
          <w:t>In a HIMSS survey</w:t>
        </w:r>
      </w:hyperlink>
      <w:r w:rsidR="00231C03">
        <w:t xml:space="preserve">, they found 74% of healthcare organizations experienced a significant security breach in the past 12 months – common themes are online scam artists such as phishing (28%) and insiders (20%).  Additionally the survey found that continued use of legacy (unsupported) systems (such as Windows Server and Windows XP) raise “grave concerns” about overall security.  </w:t>
      </w:r>
    </w:p>
    <w:p w:rsidR="007D1D19" w:rsidRDefault="00414855" w:rsidP="00E85281">
      <w:pPr>
        <w:pStyle w:val="ListParagraph"/>
        <w:numPr>
          <w:ilvl w:val="0"/>
          <w:numId w:val="2"/>
        </w:numPr>
        <w:spacing w:before="100" w:after="200" w:line="276" w:lineRule="auto"/>
      </w:pPr>
      <w:hyperlink r:id="rId18" w:history="1">
        <w:r w:rsidR="007D1D19" w:rsidRPr="007D1D19">
          <w:rPr>
            <w:rStyle w:val="Hyperlink"/>
            <w:b/>
          </w:rPr>
          <w:t>5 Common HIPAA Privacy Gaps</w:t>
        </w:r>
      </w:hyperlink>
      <w:r w:rsidR="007D1D19">
        <w:t xml:space="preserve"> – an interesting list that is consistent with OCR and other compliance findings.</w:t>
      </w:r>
    </w:p>
    <w:p w:rsidR="001D703E" w:rsidRPr="007E3477" w:rsidRDefault="001D703E" w:rsidP="001D703E">
      <w:pPr>
        <w:pStyle w:val="IntenseQuote"/>
        <w:rPr>
          <w:b/>
          <w:sz w:val="28"/>
          <w:szCs w:val="28"/>
        </w:rPr>
      </w:pPr>
      <w:r>
        <w:rPr>
          <w:b/>
          <w:sz w:val="28"/>
          <w:szCs w:val="28"/>
        </w:rPr>
        <w:t>Contact Us…</w:t>
      </w:r>
    </w:p>
    <w:p w:rsidR="007E3477" w:rsidRPr="007E3477" w:rsidRDefault="001D703E" w:rsidP="007E3477">
      <w:pPr>
        <w:pStyle w:val="ListParagraph"/>
      </w:pPr>
      <w:r>
        <w:rPr>
          <w:b/>
        </w:rPr>
        <w:t xml:space="preserve">If you have any questions or comments about the content of this newsletter, contact us at </w:t>
      </w:r>
      <w:hyperlink r:id="rId19" w:history="1">
        <w:r w:rsidRPr="00160723">
          <w:rPr>
            <w:rStyle w:val="Hyperlink"/>
            <w:b/>
          </w:rPr>
          <w:t>OHIComments@ohi.ca.gov</w:t>
        </w:r>
      </w:hyperlink>
      <w:r w:rsidR="009C13FB">
        <w:rPr>
          <w:b/>
        </w:rPr>
        <w:t>.</w:t>
      </w:r>
    </w:p>
    <w:sectPr w:rsidR="007E3477" w:rsidRPr="007E3477" w:rsidSect="007E3477"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52BA3"/>
    <w:multiLevelType w:val="hybridMultilevel"/>
    <w:tmpl w:val="9D2E6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A3420"/>
    <w:multiLevelType w:val="hybridMultilevel"/>
    <w:tmpl w:val="7CD46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258BF"/>
    <w:multiLevelType w:val="hybridMultilevel"/>
    <w:tmpl w:val="AD843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42A34"/>
    <w:multiLevelType w:val="hybridMultilevel"/>
    <w:tmpl w:val="B36E3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B6ACD"/>
    <w:multiLevelType w:val="hybridMultilevel"/>
    <w:tmpl w:val="A3627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2807CF"/>
    <w:multiLevelType w:val="hybridMultilevel"/>
    <w:tmpl w:val="A3649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CF18CB"/>
    <w:multiLevelType w:val="hybridMultilevel"/>
    <w:tmpl w:val="C0D8B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477"/>
    <w:rsid w:val="000005A4"/>
    <w:rsid w:val="00045DAB"/>
    <w:rsid w:val="000561B1"/>
    <w:rsid w:val="000F229E"/>
    <w:rsid w:val="00156352"/>
    <w:rsid w:val="001D703E"/>
    <w:rsid w:val="00231C03"/>
    <w:rsid w:val="00414855"/>
    <w:rsid w:val="0048599D"/>
    <w:rsid w:val="0056290E"/>
    <w:rsid w:val="00614626"/>
    <w:rsid w:val="006A7280"/>
    <w:rsid w:val="007C2D7E"/>
    <w:rsid w:val="007D1D19"/>
    <w:rsid w:val="007E3477"/>
    <w:rsid w:val="009A2EA4"/>
    <w:rsid w:val="009C13FB"/>
    <w:rsid w:val="009F48B5"/>
    <w:rsid w:val="00AC562C"/>
    <w:rsid w:val="00AD66C3"/>
    <w:rsid w:val="00B40745"/>
    <w:rsid w:val="00B54602"/>
    <w:rsid w:val="00B87FC4"/>
    <w:rsid w:val="00BB6EFB"/>
    <w:rsid w:val="00CC4E65"/>
    <w:rsid w:val="00D50140"/>
    <w:rsid w:val="00DB4FCF"/>
    <w:rsid w:val="00E7595A"/>
    <w:rsid w:val="00E85281"/>
    <w:rsid w:val="00F8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5e1fb"/>
      <o:colormenu v:ext="edit" fillcolor="none"/>
    </o:shapedefaults>
    <o:shapelayout v:ext="edit">
      <o:idmap v:ext="edit" data="1"/>
    </o:shapelayout>
  </w:shapeDefaults>
  <w:decimalSymbol w:val="."/>
  <w:listSeparator w:val=","/>
  <w14:docId w14:val="1F409D0D"/>
  <w15:chartTrackingRefBased/>
  <w15:docId w15:val="{73E8F5BA-5E9E-4408-AA47-27C1CEF22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E34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34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347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3477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7E3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5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99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703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4E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1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docket?D=HHS-OCR-2018-0028" TargetMode="External"/><Relationship Id="rId13" Type="http://schemas.openxmlformats.org/officeDocument/2006/relationships/hyperlink" Target="https://na01.safelinks.protection.outlook.com/?url=https%3A%2F%2Fwww.kslaw.com%2Fnews-and-insights%2Fwhy-complete-an-enterprise-risk-assessment&amp;data=02%7C01%7CRochelle.Babb%40ohi.ca.gov%7C65691c38667e4bd635e108d6982845f2%7C265c2dcd2a6e43aab2e826421a8c8526%7C0%7C0%7C636863696073672748&amp;sdata=%2FVtV9tr70MPxbc7u%2Bk2hg4qcI%2BuzbhWaiy3MQLf3Syc%3D&amp;reserved=0" TargetMode="External"/><Relationship Id="rId18" Type="http://schemas.openxmlformats.org/officeDocument/2006/relationships/hyperlink" Target="https://www.hcanews.com/news/5-common-hipaa-privacy-gap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phe.gov/Preparedness/planning/405d/Pages/hic-practices.aspx" TargetMode="External"/><Relationship Id="rId12" Type="http://schemas.openxmlformats.org/officeDocument/2006/relationships/hyperlink" Target="https://www.natlawreview.com/article/2018-all-time-record-year-hipaa-enforcement-actions-hhs-ocr" TargetMode="External"/><Relationship Id="rId17" Type="http://schemas.openxmlformats.org/officeDocument/2006/relationships/hyperlink" Target="https://na01.safelinks.protection.outlook.com/?url=https%3A%2F%2Fwww.hipaajournal.com%2Fhimss-cybersecurity-survey-phishing-and-legacy-systems-raise-grave-concerns%2F&amp;data=02%7C01%7CRochelle.Babb%40ohi.ca.gov%7C65691c38667e4bd635e108d6982845f2%7C265c2dcd2a6e43aab2e826421a8c8526%7C0%7C0%7C636863696073712776&amp;sdata=%2FtpzF8p0HHxR7sgARb8qGBuOwMvlsZXKmmnHT2xkIsE%3D&amp;reserved=0" TargetMode="External"/><Relationship Id="rId2" Type="http://schemas.openxmlformats.org/officeDocument/2006/relationships/styles" Target="styles.xml"/><Relationship Id="rId16" Type="http://schemas.openxmlformats.org/officeDocument/2006/relationships/hyperlink" Target="https://na01.safelinks.protection.outlook.com/?url=https%3A%2F%2Fwww.hipaajournal.com%2F2019-data-breach-barometer-report-shows-massive-increase-in-exposed-healthcare-records%2F&amp;data=02%7C01%7CRochelle.Babb%40ohi.ca.gov%7C65691c38667e4bd635e108d6982845f2%7C265c2dcd2a6e43aab2e826421a8c8526%7C0%7C0%7C636863696073702767&amp;sdata=%2FlikcQXOF0Zm0Y05XdWU%2FZSIwkysAjz01UJgVkocz64%3D&amp;reserved=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chhs.ca.gov/ohii/shipm/" TargetMode="External"/><Relationship Id="rId11" Type="http://schemas.openxmlformats.org/officeDocument/2006/relationships/hyperlink" Target="https://www.hhs.gov/hipaa/for-professionals/compliance-enforcement/agreements/2018enforcement/index.htm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na01.safelinks.protection.outlook.com/?url=https%3A%2F%2Fwww.techopedia.com%2Ftwo-factor-authentication-a-top-priority-for-hipaa-compliance%2F2%2F33761&amp;data=02%7C01%7CRochelle.Babb%40ohi.ca.gov%7C65691c38667e4bd635e108d6982845f2%7C265c2dcd2a6e43aab2e826421a8c8526%7C0%7C0%7C636863696073702767&amp;sdata=qbdl%2BM8EJQF0AD4IHKq4Y2GGIWfU%2FdTBL6OlAc6vgfg%3D&amp;reserved=0" TargetMode="External"/><Relationship Id="rId10" Type="http://schemas.openxmlformats.org/officeDocument/2006/relationships/hyperlink" Target="https://www.govinfo.gov/content/pkg/FR-2019-03-04/pdf/2019-02224.pdf" TargetMode="External"/><Relationship Id="rId19" Type="http://schemas.openxmlformats.org/officeDocument/2006/relationships/hyperlink" Target="mailto:OHIComments@ohi.c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FR-2019-03-04/pdf/2019-02200.pdf" TargetMode="External"/><Relationship Id="rId14" Type="http://schemas.openxmlformats.org/officeDocument/2006/relationships/hyperlink" Target="https://na01.safelinks.protection.outlook.com/?url=https%3A%2F%2Fwww.einnews.com%2Fpr_news%2F476764232%2Focr-forcing-more-healthcare-companies-to-correct-hipaa-practices-due-to-patient-complaints&amp;data=02%7C01%7CRochelle.Babb%40ohi.ca.gov%7C65691c38667e4bd635e108d6982845f2%7C265c2dcd2a6e43aab2e826421a8c8526%7C0%7C0%7C636863696073692762&amp;sdata=EjL80rFbz%2FKfCCQwNykLMmr66la9zrkuNp%2FtfGqw6eU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 &amp; CDPH</Company>
  <LinksUpToDate>false</LinksUpToDate>
  <CharactersWithSpaces>9118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Babb, Rochelle@OHI</dc:creator>
  <cp:keywords/>
  <dc:description/>
  <cp:lastModifiedBy>Babb, Rochelle@OHI</cp:lastModifiedBy>
  <cp:revision>16</cp:revision>
  <cp:lastPrinted>2019-03-13T13:18:00Z</cp:lastPrinted>
  <dcterms:created xsi:type="dcterms:W3CDTF">2019-02-27T19:12:00Z</dcterms:created>
  <dcterms:modified xsi:type="dcterms:W3CDTF">2019-03-13T13:20:00Z</dcterms:modified>
</cp:coreProperties>
</file>