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DE1C" w14:textId="77777777" w:rsidR="0066035D" w:rsidRPr="006D2945" w:rsidRDefault="0066035D">
      <w:pPr>
        <w:rPr>
          <w:rFonts w:ascii="Arial" w:hAnsi="Arial" w:cs="Arial"/>
          <w:sz w:val="24"/>
          <w:szCs w:val="24"/>
        </w:rPr>
      </w:pPr>
      <w:r w:rsidRPr="006D2945">
        <w:rPr>
          <w:rFonts w:ascii="Arial" w:hAnsi="Arial" w:cs="Arial"/>
          <w:sz w:val="24"/>
          <w:szCs w:val="24"/>
        </w:rPr>
        <w:t xml:space="preserve">The following provides a </w:t>
      </w:r>
      <w:r w:rsidR="00FA05DA">
        <w:rPr>
          <w:rFonts w:ascii="Arial" w:hAnsi="Arial" w:cs="Arial"/>
          <w:sz w:val="24"/>
          <w:szCs w:val="24"/>
        </w:rPr>
        <w:t>check</w:t>
      </w:r>
      <w:r w:rsidRPr="006D2945">
        <w:rPr>
          <w:rFonts w:ascii="Arial" w:hAnsi="Arial" w:cs="Arial"/>
          <w:sz w:val="24"/>
          <w:szCs w:val="24"/>
        </w:rPr>
        <w:t xml:space="preserve">list of all SHIPM </w:t>
      </w:r>
      <w:r w:rsidR="001C1862" w:rsidRPr="006D2945">
        <w:rPr>
          <w:rFonts w:ascii="Arial" w:hAnsi="Arial" w:cs="Arial"/>
          <w:sz w:val="24"/>
          <w:szCs w:val="24"/>
        </w:rPr>
        <w:t>required</w:t>
      </w:r>
      <w:r w:rsidR="00DE0207" w:rsidRPr="006D2945">
        <w:rPr>
          <w:rFonts w:ascii="Arial" w:hAnsi="Arial" w:cs="Arial"/>
          <w:sz w:val="24"/>
          <w:szCs w:val="24"/>
        </w:rPr>
        <w:t xml:space="preserve"> </w:t>
      </w:r>
      <w:r w:rsidRPr="006D2945">
        <w:rPr>
          <w:rFonts w:ascii="Arial" w:hAnsi="Arial" w:cs="Arial"/>
          <w:sz w:val="24"/>
          <w:szCs w:val="24"/>
        </w:rPr>
        <w:t>policy and/or procedure documentation.</w:t>
      </w:r>
      <w:r w:rsidR="00DE0207" w:rsidRPr="006D2945">
        <w:rPr>
          <w:rFonts w:ascii="Arial" w:hAnsi="Arial" w:cs="Arial"/>
          <w:sz w:val="24"/>
          <w:szCs w:val="24"/>
        </w:rPr>
        <w:t xml:space="preserve">  </w:t>
      </w:r>
      <w:r w:rsidR="004C28BC" w:rsidRPr="006D2945">
        <w:rPr>
          <w:rFonts w:ascii="Arial" w:hAnsi="Arial" w:cs="Arial"/>
          <w:sz w:val="24"/>
          <w:szCs w:val="24"/>
        </w:rPr>
        <w:t>NOTE:  Policy and procedure documentation can be incorporated into existing documentation or as stand-alone documents.</w:t>
      </w:r>
    </w:p>
    <w:tbl>
      <w:tblPr>
        <w:tblStyle w:val="TableGrid"/>
        <w:tblW w:w="12893" w:type="dxa"/>
        <w:tblInd w:w="85" w:type="dxa"/>
        <w:tblLayout w:type="fixed"/>
        <w:tblLook w:val="04A0" w:firstRow="1" w:lastRow="0" w:firstColumn="1" w:lastColumn="0" w:noHBand="0" w:noVBand="1"/>
        <w:tblCaption w:val="SHIPM Required Policies and Procedures"/>
        <w:tblDescription w:val="Table contains the section and policy reference along with the SHIPM requirement regarding required policies and procedures"/>
      </w:tblPr>
      <w:tblGrid>
        <w:gridCol w:w="2093"/>
        <w:gridCol w:w="2317"/>
        <w:gridCol w:w="6863"/>
        <w:gridCol w:w="1620"/>
      </w:tblGrid>
      <w:tr w:rsidR="001C1862" w:rsidRPr="006D2945" w14:paraId="09E9F145" w14:textId="77777777" w:rsidTr="00CB196F">
        <w:trPr>
          <w:tblHeader/>
        </w:trPr>
        <w:tc>
          <w:tcPr>
            <w:tcW w:w="2093" w:type="dxa"/>
            <w:shd w:val="clear" w:color="auto" w:fill="E5DFEC" w:themeFill="accent4" w:themeFillTint="33"/>
          </w:tcPr>
          <w:p w14:paraId="12DE9624" w14:textId="77777777" w:rsidR="001C1862" w:rsidRPr="006D2945" w:rsidRDefault="001C1862" w:rsidP="00673FCB">
            <w:pPr>
              <w:jc w:val="center"/>
              <w:rPr>
                <w:rFonts w:ascii="Arial" w:hAnsi="Arial" w:cs="Arial"/>
                <w:b/>
                <w:sz w:val="24"/>
                <w:szCs w:val="24"/>
              </w:rPr>
            </w:pPr>
            <w:r w:rsidRPr="006D2945">
              <w:rPr>
                <w:rFonts w:ascii="Arial" w:hAnsi="Arial" w:cs="Arial"/>
                <w:b/>
                <w:sz w:val="24"/>
                <w:szCs w:val="24"/>
              </w:rPr>
              <w:t>SHIPM Section</w:t>
            </w:r>
          </w:p>
        </w:tc>
        <w:tc>
          <w:tcPr>
            <w:tcW w:w="2317" w:type="dxa"/>
            <w:shd w:val="clear" w:color="auto" w:fill="E5DFEC" w:themeFill="accent4" w:themeFillTint="33"/>
          </w:tcPr>
          <w:p w14:paraId="00329EE0" w14:textId="77777777" w:rsidR="001C1862" w:rsidRPr="006D2945" w:rsidRDefault="006D2945" w:rsidP="00673FCB">
            <w:pPr>
              <w:jc w:val="center"/>
              <w:rPr>
                <w:rFonts w:ascii="Arial" w:hAnsi="Arial" w:cs="Arial"/>
                <w:b/>
                <w:sz w:val="24"/>
                <w:szCs w:val="24"/>
              </w:rPr>
            </w:pPr>
            <w:r>
              <w:rPr>
                <w:rFonts w:ascii="Arial" w:hAnsi="Arial" w:cs="Arial"/>
                <w:b/>
                <w:sz w:val="24"/>
                <w:szCs w:val="24"/>
              </w:rPr>
              <w:t xml:space="preserve">SHIPM </w:t>
            </w:r>
            <w:r w:rsidRPr="006D2945">
              <w:rPr>
                <w:rFonts w:ascii="Arial" w:hAnsi="Arial" w:cs="Arial"/>
                <w:b/>
                <w:sz w:val="24"/>
                <w:szCs w:val="24"/>
              </w:rPr>
              <w:t>Policy</w:t>
            </w:r>
          </w:p>
        </w:tc>
        <w:tc>
          <w:tcPr>
            <w:tcW w:w="6863" w:type="dxa"/>
            <w:shd w:val="clear" w:color="auto" w:fill="E5DFEC" w:themeFill="accent4" w:themeFillTint="33"/>
          </w:tcPr>
          <w:p w14:paraId="3105A8E7" w14:textId="77777777" w:rsidR="001C1862" w:rsidRPr="006D2945" w:rsidRDefault="006D2945" w:rsidP="006D2945">
            <w:pPr>
              <w:jc w:val="center"/>
              <w:rPr>
                <w:rFonts w:ascii="Arial" w:hAnsi="Arial" w:cs="Arial"/>
                <w:b/>
                <w:sz w:val="24"/>
                <w:szCs w:val="24"/>
              </w:rPr>
            </w:pPr>
            <w:r>
              <w:rPr>
                <w:rFonts w:ascii="Arial" w:hAnsi="Arial" w:cs="Arial"/>
                <w:b/>
                <w:sz w:val="24"/>
                <w:szCs w:val="24"/>
              </w:rPr>
              <w:t xml:space="preserve">SHIPM </w:t>
            </w:r>
            <w:r w:rsidR="001C1862" w:rsidRPr="006D2945">
              <w:rPr>
                <w:rFonts w:ascii="Arial" w:hAnsi="Arial" w:cs="Arial"/>
                <w:b/>
                <w:sz w:val="24"/>
                <w:szCs w:val="24"/>
              </w:rPr>
              <w:t>Policy</w:t>
            </w:r>
            <w:r w:rsidRPr="006D2945">
              <w:rPr>
                <w:rFonts w:ascii="Arial" w:hAnsi="Arial" w:cs="Arial"/>
                <w:b/>
                <w:sz w:val="24"/>
                <w:szCs w:val="24"/>
              </w:rPr>
              <w:t xml:space="preserve"> Reference</w:t>
            </w:r>
            <w:r>
              <w:rPr>
                <w:rFonts w:ascii="Arial" w:hAnsi="Arial" w:cs="Arial"/>
                <w:b/>
                <w:sz w:val="24"/>
                <w:szCs w:val="24"/>
              </w:rPr>
              <w:t xml:space="preserve"> </w:t>
            </w:r>
            <w:r w:rsidRPr="006D2945">
              <w:rPr>
                <w:rFonts w:ascii="Arial" w:hAnsi="Arial" w:cs="Arial"/>
                <w:b/>
                <w:sz w:val="24"/>
                <w:szCs w:val="24"/>
              </w:rPr>
              <w:t>Requirement</w:t>
            </w:r>
            <w:r w:rsidR="001C1862" w:rsidRPr="006D2945">
              <w:rPr>
                <w:rStyle w:val="FootnoteReference"/>
                <w:rFonts w:ascii="Arial" w:hAnsi="Arial" w:cs="Arial"/>
                <w:b/>
                <w:sz w:val="24"/>
                <w:szCs w:val="24"/>
              </w:rPr>
              <w:footnoteReference w:id="1"/>
            </w:r>
          </w:p>
        </w:tc>
        <w:tc>
          <w:tcPr>
            <w:tcW w:w="1620" w:type="dxa"/>
            <w:shd w:val="clear" w:color="auto" w:fill="E5DFEC" w:themeFill="accent4" w:themeFillTint="33"/>
          </w:tcPr>
          <w:p w14:paraId="412D823B" w14:textId="77777777" w:rsidR="001C1862" w:rsidRPr="006D2945" w:rsidRDefault="001C1862" w:rsidP="00673FCB">
            <w:pPr>
              <w:jc w:val="center"/>
              <w:rPr>
                <w:rFonts w:ascii="Arial" w:hAnsi="Arial" w:cs="Arial"/>
                <w:b/>
                <w:sz w:val="24"/>
                <w:szCs w:val="24"/>
              </w:rPr>
            </w:pPr>
            <w:r w:rsidRPr="006D2945">
              <w:rPr>
                <w:rFonts w:ascii="Arial" w:hAnsi="Arial" w:cs="Arial"/>
                <w:b/>
                <w:sz w:val="24"/>
                <w:szCs w:val="24"/>
              </w:rPr>
              <w:t>Completed?</w:t>
            </w:r>
          </w:p>
        </w:tc>
      </w:tr>
      <w:tr w:rsidR="00A83766" w:rsidRPr="006D2945" w14:paraId="2FFA55A3" w14:textId="77777777" w:rsidTr="00CB196F">
        <w:tc>
          <w:tcPr>
            <w:tcW w:w="2093" w:type="dxa"/>
          </w:tcPr>
          <w:p w14:paraId="6ED9A3C1" w14:textId="77777777" w:rsidR="00A83766" w:rsidRPr="006D2945" w:rsidRDefault="00A83766" w:rsidP="009047D3">
            <w:pPr>
              <w:rPr>
                <w:rFonts w:ascii="Arial" w:hAnsi="Arial" w:cs="Arial"/>
                <w:sz w:val="24"/>
                <w:szCs w:val="24"/>
              </w:rPr>
            </w:pPr>
            <w:r w:rsidRPr="006D2945">
              <w:rPr>
                <w:rFonts w:ascii="Arial" w:hAnsi="Arial" w:cs="Arial"/>
                <w:sz w:val="24"/>
                <w:szCs w:val="24"/>
              </w:rPr>
              <w:t xml:space="preserve">2.1.0 – Authorizations </w:t>
            </w:r>
          </w:p>
        </w:tc>
        <w:tc>
          <w:tcPr>
            <w:tcW w:w="2317" w:type="dxa"/>
          </w:tcPr>
          <w:p w14:paraId="2E6C0C17" w14:textId="77777777" w:rsidR="00A83766" w:rsidRPr="006D2945" w:rsidRDefault="00A83766" w:rsidP="009047D3">
            <w:pPr>
              <w:rPr>
                <w:rFonts w:ascii="Arial" w:hAnsi="Arial" w:cs="Arial"/>
                <w:sz w:val="24"/>
                <w:szCs w:val="24"/>
              </w:rPr>
            </w:pPr>
            <w:r w:rsidRPr="006D2945">
              <w:rPr>
                <w:rFonts w:ascii="Arial" w:hAnsi="Arial" w:cs="Arial"/>
                <w:sz w:val="24"/>
                <w:szCs w:val="24"/>
              </w:rPr>
              <w:t xml:space="preserve">2.1.1 – Authorizations </w:t>
            </w:r>
          </w:p>
          <w:p w14:paraId="02189445" w14:textId="77777777" w:rsidR="00A83766" w:rsidRPr="006D2945" w:rsidRDefault="00A83766" w:rsidP="009047D3">
            <w:pPr>
              <w:rPr>
                <w:rFonts w:ascii="Arial" w:hAnsi="Arial" w:cs="Arial"/>
                <w:sz w:val="24"/>
                <w:szCs w:val="24"/>
              </w:rPr>
            </w:pPr>
          </w:p>
        </w:tc>
        <w:tc>
          <w:tcPr>
            <w:tcW w:w="6863" w:type="dxa"/>
          </w:tcPr>
          <w:p w14:paraId="03FCBA3E" w14:textId="77777777" w:rsidR="00A83766" w:rsidRPr="006D2945" w:rsidRDefault="00A83766">
            <w:pPr>
              <w:rPr>
                <w:rFonts w:ascii="Arial" w:hAnsi="Arial" w:cs="Arial"/>
                <w:sz w:val="24"/>
                <w:szCs w:val="24"/>
              </w:rPr>
            </w:pPr>
            <w:r w:rsidRPr="006D2945">
              <w:rPr>
                <w:rFonts w:ascii="Arial" w:hAnsi="Arial" w:cs="Arial"/>
                <w:sz w:val="24"/>
                <w:szCs w:val="24"/>
              </w:rPr>
              <w:t>II. Policies and procedures must be implemented and maintained which outline requirements for when a patient authorization is needed and what must be included.</w:t>
            </w:r>
          </w:p>
        </w:tc>
        <w:tc>
          <w:tcPr>
            <w:tcW w:w="1620" w:type="dxa"/>
          </w:tcPr>
          <w:p w14:paraId="11817F39" w14:textId="77777777" w:rsidR="00A83766" w:rsidRPr="006D2945" w:rsidRDefault="00A83766">
            <w:pPr>
              <w:rPr>
                <w:rFonts w:ascii="Arial" w:hAnsi="Arial" w:cs="Arial"/>
                <w:sz w:val="24"/>
                <w:szCs w:val="24"/>
              </w:rPr>
            </w:pPr>
          </w:p>
        </w:tc>
      </w:tr>
      <w:tr w:rsidR="00CB196F" w:rsidRPr="006D2945" w14:paraId="4EBCF46B" w14:textId="77777777" w:rsidTr="00CB196F">
        <w:tc>
          <w:tcPr>
            <w:tcW w:w="2093" w:type="dxa"/>
            <w:vMerge w:val="restart"/>
          </w:tcPr>
          <w:p w14:paraId="31B411B0" w14:textId="77777777" w:rsidR="00CB196F" w:rsidRPr="006D2945" w:rsidRDefault="00CB196F">
            <w:pPr>
              <w:rPr>
                <w:rFonts w:ascii="Arial" w:hAnsi="Arial" w:cs="Arial"/>
                <w:sz w:val="24"/>
                <w:szCs w:val="24"/>
              </w:rPr>
            </w:pPr>
            <w:r>
              <w:rPr>
                <w:rFonts w:ascii="Arial" w:hAnsi="Arial" w:cs="Arial"/>
                <w:sz w:val="24"/>
                <w:szCs w:val="24"/>
              </w:rPr>
              <w:t>2.2.0 – Uses and Disclosures</w:t>
            </w:r>
          </w:p>
        </w:tc>
        <w:tc>
          <w:tcPr>
            <w:tcW w:w="2317" w:type="dxa"/>
          </w:tcPr>
          <w:p w14:paraId="6417695C" w14:textId="77777777" w:rsidR="00CB196F" w:rsidRPr="006D2945" w:rsidRDefault="00CB196F" w:rsidP="009047D3">
            <w:pPr>
              <w:rPr>
                <w:rFonts w:ascii="Arial" w:hAnsi="Arial" w:cs="Arial"/>
                <w:sz w:val="24"/>
                <w:szCs w:val="24"/>
              </w:rPr>
            </w:pPr>
            <w:r w:rsidRPr="006D2945">
              <w:rPr>
                <w:rFonts w:ascii="Arial" w:hAnsi="Arial" w:cs="Arial"/>
                <w:sz w:val="24"/>
                <w:szCs w:val="24"/>
              </w:rPr>
              <w:t xml:space="preserve">2.2.7 – Marketing </w:t>
            </w:r>
          </w:p>
        </w:tc>
        <w:tc>
          <w:tcPr>
            <w:tcW w:w="6863" w:type="dxa"/>
          </w:tcPr>
          <w:p w14:paraId="7131DD80" w14:textId="77777777" w:rsidR="00CB196F" w:rsidRPr="006D2945" w:rsidRDefault="00CB196F" w:rsidP="00730E4F">
            <w:pPr>
              <w:rPr>
                <w:rFonts w:ascii="Arial" w:hAnsi="Arial" w:cs="Arial"/>
                <w:sz w:val="24"/>
                <w:szCs w:val="24"/>
              </w:rPr>
            </w:pPr>
            <w:r w:rsidRPr="006D2945">
              <w:rPr>
                <w:rFonts w:ascii="Arial" w:hAnsi="Arial" w:cs="Arial"/>
                <w:sz w:val="24"/>
                <w:szCs w:val="24"/>
              </w:rPr>
              <w:t xml:space="preserve">III. A. Enforcement entities are responsible for maintaining policies and procedures that outline the details and restrictions of marketing activities. </w:t>
            </w:r>
          </w:p>
        </w:tc>
        <w:tc>
          <w:tcPr>
            <w:tcW w:w="1620" w:type="dxa"/>
          </w:tcPr>
          <w:p w14:paraId="210B6F63" w14:textId="77777777" w:rsidR="00CB196F" w:rsidRPr="006D2945" w:rsidRDefault="00CB196F">
            <w:pPr>
              <w:rPr>
                <w:rFonts w:ascii="Arial" w:hAnsi="Arial" w:cs="Arial"/>
                <w:sz w:val="24"/>
                <w:szCs w:val="24"/>
              </w:rPr>
            </w:pPr>
          </w:p>
        </w:tc>
      </w:tr>
      <w:tr w:rsidR="00CB196F" w:rsidRPr="006D2945" w14:paraId="79B8A7AD" w14:textId="77777777" w:rsidTr="00CB196F">
        <w:tc>
          <w:tcPr>
            <w:tcW w:w="2093" w:type="dxa"/>
            <w:vMerge/>
          </w:tcPr>
          <w:p w14:paraId="41F98357" w14:textId="77777777" w:rsidR="00CB196F" w:rsidRPr="006D2945" w:rsidRDefault="00CB196F">
            <w:pPr>
              <w:rPr>
                <w:rFonts w:ascii="Arial" w:hAnsi="Arial" w:cs="Arial"/>
                <w:sz w:val="24"/>
                <w:szCs w:val="24"/>
              </w:rPr>
            </w:pPr>
          </w:p>
        </w:tc>
        <w:tc>
          <w:tcPr>
            <w:tcW w:w="2317" w:type="dxa"/>
          </w:tcPr>
          <w:p w14:paraId="1C306B9C" w14:textId="77777777" w:rsidR="00CB196F" w:rsidRPr="006D2945" w:rsidRDefault="00CB196F" w:rsidP="009047D3">
            <w:pPr>
              <w:rPr>
                <w:rFonts w:ascii="Arial" w:hAnsi="Arial" w:cs="Arial"/>
                <w:sz w:val="24"/>
                <w:szCs w:val="24"/>
              </w:rPr>
            </w:pPr>
            <w:r w:rsidRPr="006D2945">
              <w:rPr>
                <w:rFonts w:ascii="Arial" w:hAnsi="Arial" w:cs="Arial"/>
                <w:sz w:val="24"/>
                <w:szCs w:val="24"/>
              </w:rPr>
              <w:t xml:space="preserve">2.2.8 – Opportunity to Agree or Object </w:t>
            </w:r>
          </w:p>
        </w:tc>
        <w:tc>
          <w:tcPr>
            <w:tcW w:w="6863" w:type="dxa"/>
          </w:tcPr>
          <w:p w14:paraId="089D12B2" w14:textId="77777777" w:rsidR="00CB196F" w:rsidRPr="006D2945" w:rsidRDefault="00CB196F">
            <w:pPr>
              <w:rPr>
                <w:rFonts w:ascii="Arial" w:hAnsi="Arial" w:cs="Arial"/>
                <w:sz w:val="24"/>
                <w:szCs w:val="24"/>
              </w:rPr>
            </w:pPr>
            <w:r w:rsidRPr="006D2945">
              <w:rPr>
                <w:rFonts w:ascii="Arial" w:hAnsi="Arial" w:cs="Arial"/>
                <w:sz w:val="24"/>
                <w:szCs w:val="24"/>
              </w:rPr>
              <w:t>II. Policies and procedures must be implemented and maintained to allow patients the opportunity to agree or object to specific uses and disclosures of their health information.</w:t>
            </w:r>
          </w:p>
        </w:tc>
        <w:tc>
          <w:tcPr>
            <w:tcW w:w="1620" w:type="dxa"/>
          </w:tcPr>
          <w:p w14:paraId="0CE2F409" w14:textId="77777777" w:rsidR="00CB196F" w:rsidRPr="006D2945" w:rsidRDefault="00CB196F">
            <w:pPr>
              <w:rPr>
                <w:rFonts w:ascii="Arial" w:hAnsi="Arial" w:cs="Arial"/>
                <w:sz w:val="24"/>
                <w:szCs w:val="24"/>
              </w:rPr>
            </w:pPr>
          </w:p>
        </w:tc>
      </w:tr>
      <w:tr w:rsidR="00CB196F" w:rsidRPr="006D2945" w14:paraId="1AEC8A5B" w14:textId="77777777" w:rsidTr="00CB196F">
        <w:tc>
          <w:tcPr>
            <w:tcW w:w="2093" w:type="dxa"/>
            <w:vMerge/>
          </w:tcPr>
          <w:p w14:paraId="3C0590B5" w14:textId="77777777" w:rsidR="00CB196F" w:rsidRPr="006D2945" w:rsidRDefault="00CB196F">
            <w:pPr>
              <w:rPr>
                <w:rFonts w:ascii="Arial" w:hAnsi="Arial" w:cs="Arial"/>
                <w:sz w:val="24"/>
                <w:szCs w:val="24"/>
              </w:rPr>
            </w:pPr>
          </w:p>
        </w:tc>
        <w:tc>
          <w:tcPr>
            <w:tcW w:w="2317" w:type="dxa"/>
          </w:tcPr>
          <w:p w14:paraId="3C8D4925" w14:textId="77777777" w:rsidR="00CB196F" w:rsidRPr="006D2945" w:rsidRDefault="00CB196F" w:rsidP="00414ADD">
            <w:pPr>
              <w:rPr>
                <w:rFonts w:ascii="Arial" w:hAnsi="Arial" w:cs="Arial"/>
                <w:sz w:val="24"/>
                <w:szCs w:val="24"/>
              </w:rPr>
            </w:pPr>
            <w:r w:rsidRPr="006D2945">
              <w:rPr>
                <w:rFonts w:ascii="Arial" w:hAnsi="Arial" w:cs="Arial"/>
                <w:sz w:val="24"/>
                <w:szCs w:val="24"/>
              </w:rPr>
              <w:t xml:space="preserve">2.2.15 - Underwriting </w:t>
            </w:r>
          </w:p>
        </w:tc>
        <w:tc>
          <w:tcPr>
            <w:tcW w:w="6863" w:type="dxa"/>
          </w:tcPr>
          <w:p w14:paraId="133BDEAB" w14:textId="77777777" w:rsidR="00CB196F" w:rsidRPr="006D2945" w:rsidRDefault="00CB196F" w:rsidP="00414ADD">
            <w:pPr>
              <w:rPr>
                <w:rFonts w:ascii="Arial" w:hAnsi="Arial" w:cs="Arial"/>
                <w:sz w:val="24"/>
                <w:szCs w:val="24"/>
              </w:rPr>
            </w:pPr>
            <w:r w:rsidRPr="006D2945">
              <w:rPr>
                <w:rFonts w:ascii="Arial" w:hAnsi="Arial" w:cs="Arial"/>
                <w:sz w:val="24"/>
                <w:szCs w:val="24"/>
              </w:rPr>
              <w:t xml:space="preserve">III. E. State entities that are business associates, health care clearinghouses, health care plans, health care providers, or hybrid entities must implement policies and procedures to limit the health information disclosed to the amount reasonably necessary to achieve the purpose for the disclosure. </w:t>
            </w:r>
          </w:p>
        </w:tc>
        <w:tc>
          <w:tcPr>
            <w:tcW w:w="1620" w:type="dxa"/>
          </w:tcPr>
          <w:p w14:paraId="7ADA11DF" w14:textId="77777777" w:rsidR="00CB196F" w:rsidRPr="006D2945" w:rsidRDefault="00CB196F">
            <w:pPr>
              <w:rPr>
                <w:rFonts w:ascii="Arial" w:hAnsi="Arial" w:cs="Arial"/>
                <w:sz w:val="24"/>
                <w:szCs w:val="24"/>
              </w:rPr>
            </w:pPr>
          </w:p>
        </w:tc>
      </w:tr>
      <w:tr w:rsidR="00E37675" w:rsidRPr="006D2945" w14:paraId="7B19F18F" w14:textId="77777777" w:rsidTr="00CB196F">
        <w:tc>
          <w:tcPr>
            <w:tcW w:w="2093" w:type="dxa"/>
            <w:vMerge w:val="restart"/>
          </w:tcPr>
          <w:p w14:paraId="1693DF43" w14:textId="77777777" w:rsidR="00E37675" w:rsidRPr="006D2945" w:rsidRDefault="00E37675">
            <w:pPr>
              <w:rPr>
                <w:rFonts w:ascii="Arial" w:hAnsi="Arial" w:cs="Arial"/>
                <w:sz w:val="24"/>
                <w:szCs w:val="24"/>
              </w:rPr>
            </w:pPr>
            <w:r>
              <w:rPr>
                <w:rFonts w:ascii="Arial" w:hAnsi="Arial" w:cs="Arial"/>
                <w:sz w:val="24"/>
                <w:szCs w:val="24"/>
              </w:rPr>
              <w:t>2.3.0 – Specially Protected Information</w:t>
            </w:r>
          </w:p>
        </w:tc>
        <w:tc>
          <w:tcPr>
            <w:tcW w:w="2317" w:type="dxa"/>
          </w:tcPr>
          <w:p w14:paraId="41E8DB31" w14:textId="77777777" w:rsidR="00E37675" w:rsidRPr="006D2945" w:rsidRDefault="00E37675" w:rsidP="00414ADD">
            <w:pPr>
              <w:rPr>
                <w:rFonts w:ascii="Arial" w:hAnsi="Arial" w:cs="Arial"/>
                <w:sz w:val="24"/>
                <w:szCs w:val="24"/>
              </w:rPr>
            </w:pPr>
            <w:r w:rsidRPr="006D2945">
              <w:rPr>
                <w:rFonts w:ascii="Arial" w:hAnsi="Arial" w:cs="Arial"/>
                <w:sz w:val="24"/>
                <w:szCs w:val="24"/>
              </w:rPr>
              <w:t xml:space="preserve">2.3.2 – HIV/AIDS Information </w:t>
            </w:r>
          </w:p>
        </w:tc>
        <w:tc>
          <w:tcPr>
            <w:tcW w:w="6863" w:type="dxa"/>
          </w:tcPr>
          <w:p w14:paraId="1D2DB614" w14:textId="77777777" w:rsidR="00E37675" w:rsidRPr="006D2945" w:rsidRDefault="00E37675" w:rsidP="00414ADD">
            <w:pPr>
              <w:rPr>
                <w:rFonts w:ascii="Arial" w:hAnsi="Arial" w:cs="Arial"/>
                <w:sz w:val="24"/>
                <w:szCs w:val="24"/>
              </w:rPr>
            </w:pPr>
            <w:r w:rsidRPr="006D2945">
              <w:rPr>
                <w:rFonts w:ascii="Arial" w:hAnsi="Arial" w:cs="Arial"/>
                <w:sz w:val="24"/>
                <w:szCs w:val="24"/>
              </w:rPr>
              <w:t xml:space="preserve">III. A. </w:t>
            </w:r>
          </w:p>
          <w:p w14:paraId="7DAED77B" w14:textId="77777777" w:rsidR="00E37675" w:rsidRPr="006D2945" w:rsidRDefault="00E37675" w:rsidP="00414ADD">
            <w:pPr>
              <w:rPr>
                <w:rFonts w:ascii="Arial" w:hAnsi="Arial" w:cs="Arial"/>
                <w:sz w:val="24"/>
                <w:szCs w:val="24"/>
              </w:rPr>
            </w:pPr>
            <w:r w:rsidRPr="006D2945">
              <w:rPr>
                <w:rFonts w:ascii="Arial" w:hAnsi="Arial" w:cs="Arial"/>
                <w:sz w:val="24"/>
                <w:szCs w:val="24"/>
              </w:rPr>
              <w:t xml:space="preserve">3. Develop and implement policies and procedures regarding the collection, use and/or disclosure of public health records containing HIV/AIDS information. </w:t>
            </w:r>
          </w:p>
          <w:p w14:paraId="378D8F0F" w14:textId="77777777" w:rsidR="00E37675" w:rsidRPr="006D2945" w:rsidRDefault="00E37675">
            <w:pPr>
              <w:rPr>
                <w:rFonts w:ascii="Arial" w:hAnsi="Arial" w:cs="Arial"/>
                <w:sz w:val="24"/>
                <w:szCs w:val="24"/>
              </w:rPr>
            </w:pPr>
            <w:r w:rsidRPr="006D2945">
              <w:rPr>
                <w:rFonts w:ascii="Arial" w:hAnsi="Arial" w:cs="Arial"/>
                <w:sz w:val="24"/>
                <w:szCs w:val="24"/>
              </w:rPr>
              <w:t xml:space="preserve">4. Develop and implement policies and procedures regarding the disclosure of HIV/AIDS test results. </w:t>
            </w:r>
          </w:p>
        </w:tc>
        <w:tc>
          <w:tcPr>
            <w:tcW w:w="1620" w:type="dxa"/>
          </w:tcPr>
          <w:p w14:paraId="4CB5F236" w14:textId="77777777" w:rsidR="00E37675" w:rsidRPr="006D2945" w:rsidRDefault="00E37675">
            <w:pPr>
              <w:rPr>
                <w:rFonts w:ascii="Arial" w:hAnsi="Arial" w:cs="Arial"/>
                <w:sz w:val="24"/>
                <w:szCs w:val="24"/>
              </w:rPr>
            </w:pPr>
          </w:p>
        </w:tc>
      </w:tr>
      <w:tr w:rsidR="00E37675" w:rsidRPr="006D2945" w14:paraId="4EFBCB9B" w14:textId="77777777" w:rsidTr="00CB196F">
        <w:tc>
          <w:tcPr>
            <w:tcW w:w="2093" w:type="dxa"/>
            <w:vMerge/>
          </w:tcPr>
          <w:p w14:paraId="2D54E307" w14:textId="77777777" w:rsidR="00E37675" w:rsidRDefault="00E37675" w:rsidP="00432E58">
            <w:pPr>
              <w:rPr>
                <w:rFonts w:ascii="Arial" w:hAnsi="Arial" w:cs="Arial"/>
                <w:sz w:val="24"/>
                <w:szCs w:val="24"/>
              </w:rPr>
            </w:pPr>
          </w:p>
        </w:tc>
        <w:tc>
          <w:tcPr>
            <w:tcW w:w="2317" w:type="dxa"/>
          </w:tcPr>
          <w:p w14:paraId="2C96428F" w14:textId="77777777" w:rsidR="00E37675" w:rsidRPr="006D2945" w:rsidRDefault="00E37675" w:rsidP="00432E58">
            <w:pPr>
              <w:rPr>
                <w:rFonts w:ascii="Arial" w:hAnsi="Arial" w:cs="Arial"/>
                <w:sz w:val="24"/>
                <w:szCs w:val="24"/>
              </w:rPr>
            </w:pPr>
            <w:r>
              <w:rPr>
                <w:rFonts w:ascii="Arial" w:hAnsi="Arial" w:cs="Arial"/>
                <w:sz w:val="24"/>
                <w:szCs w:val="24"/>
              </w:rPr>
              <w:t>2.3.4 – Substance Use Disorder Treatment</w:t>
            </w:r>
          </w:p>
        </w:tc>
        <w:tc>
          <w:tcPr>
            <w:tcW w:w="6863" w:type="dxa"/>
          </w:tcPr>
          <w:p w14:paraId="1B843893" w14:textId="77777777" w:rsidR="00E37675" w:rsidRDefault="00E37675" w:rsidP="00432E58">
            <w:pPr>
              <w:rPr>
                <w:rFonts w:ascii="Arial" w:hAnsi="Arial" w:cs="Arial"/>
                <w:sz w:val="24"/>
                <w:szCs w:val="24"/>
              </w:rPr>
            </w:pPr>
            <w:r>
              <w:rPr>
                <w:rFonts w:ascii="Arial" w:hAnsi="Arial" w:cs="Arial"/>
                <w:sz w:val="24"/>
                <w:szCs w:val="24"/>
              </w:rPr>
              <w:t>III.A.</w:t>
            </w:r>
          </w:p>
          <w:p w14:paraId="3A7B23F6" w14:textId="77777777" w:rsidR="00E37675" w:rsidRPr="006D2945" w:rsidRDefault="00E37675" w:rsidP="00432E58">
            <w:pPr>
              <w:rPr>
                <w:rFonts w:ascii="Arial" w:hAnsi="Arial" w:cs="Arial"/>
                <w:sz w:val="24"/>
                <w:szCs w:val="24"/>
              </w:rPr>
            </w:pPr>
            <w:r>
              <w:rPr>
                <w:rFonts w:ascii="Arial" w:hAnsi="Arial" w:cs="Arial"/>
                <w:sz w:val="24"/>
                <w:szCs w:val="24"/>
              </w:rPr>
              <w:t>State entities must have in place formal policies and procedures to reasonably protect against unauthorized use and disclosure of patient identifying information and to protect against reasonably anticipated threats or hazards to the security of patient identifying information.</w:t>
            </w:r>
          </w:p>
        </w:tc>
        <w:tc>
          <w:tcPr>
            <w:tcW w:w="1620" w:type="dxa"/>
          </w:tcPr>
          <w:p w14:paraId="211F75ED" w14:textId="77777777" w:rsidR="00E37675" w:rsidRPr="006D2945" w:rsidRDefault="00E37675" w:rsidP="00432E58">
            <w:pPr>
              <w:rPr>
                <w:rFonts w:ascii="Arial" w:hAnsi="Arial" w:cs="Arial"/>
                <w:sz w:val="24"/>
                <w:szCs w:val="24"/>
              </w:rPr>
            </w:pPr>
          </w:p>
        </w:tc>
      </w:tr>
      <w:tr w:rsidR="00A83766" w:rsidRPr="006D2945" w14:paraId="74522B54" w14:textId="77777777" w:rsidTr="00CB196F">
        <w:tc>
          <w:tcPr>
            <w:tcW w:w="2093" w:type="dxa"/>
          </w:tcPr>
          <w:p w14:paraId="2CBED03A" w14:textId="77777777" w:rsidR="00A83766" w:rsidRPr="006D2945" w:rsidRDefault="00FA05DA">
            <w:pPr>
              <w:rPr>
                <w:rFonts w:ascii="Arial" w:hAnsi="Arial" w:cs="Arial"/>
                <w:sz w:val="24"/>
                <w:szCs w:val="24"/>
              </w:rPr>
            </w:pPr>
            <w:r>
              <w:rPr>
                <w:rFonts w:ascii="Arial" w:hAnsi="Arial" w:cs="Arial"/>
                <w:sz w:val="24"/>
                <w:szCs w:val="24"/>
              </w:rPr>
              <w:lastRenderedPageBreak/>
              <w:t>2.4.0 Breach and Breach Notification</w:t>
            </w:r>
          </w:p>
        </w:tc>
        <w:tc>
          <w:tcPr>
            <w:tcW w:w="2317" w:type="dxa"/>
          </w:tcPr>
          <w:p w14:paraId="2F470F86" w14:textId="77777777" w:rsidR="00A83766" w:rsidRPr="006D2945" w:rsidRDefault="00A83766" w:rsidP="00C41863">
            <w:pPr>
              <w:rPr>
                <w:rFonts w:ascii="Arial" w:hAnsi="Arial" w:cs="Arial"/>
                <w:sz w:val="24"/>
                <w:szCs w:val="24"/>
              </w:rPr>
            </w:pPr>
            <w:r w:rsidRPr="006D2945">
              <w:rPr>
                <w:rFonts w:ascii="Arial" w:hAnsi="Arial" w:cs="Arial"/>
                <w:sz w:val="24"/>
                <w:szCs w:val="24"/>
              </w:rPr>
              <w:t xml:space="preserve">2.4.1 – Breach and Breach Notification </w:t>
            </w:r>
          </w:p>
        </w:tc>
        <w:tc>
          <w:tcPr>
            <w:tcW w:w="6863" w:type="dxa"/>
          </w:tcPr>
          <w:p w14:paraId="542B41F9" w14:textId="77777777" w:rsidR="00A83766" w:rsidRPr="006D2945" w:rsidRDefault="00A83766">
            <w:pPr>
              <w:rPr>
                <w:rFonts w:ascii="Arial" w:hAnsi="Arial" w:cs="Arial"/>
                <w:sz w:val="24"/>
                <w:szCs w:val="24"/>
              </w:rPr>
            </w:pPr>
            <w:r w:rsidRPr="006D2945">
              <w:rPr>
                <w:rFonts w:ascii="Arial" w:hAnsi="Arial" w:cs="Arial"/>
                <w:sz w:val="24"/>
                <w:szCs w:val="24"/>
              </w:rPr>
              <w:t xml:space="preserve">III. B. Policies and procedures must be implemented and maintained to ensure compliance with legal requirements regarding investigating and reporting breaches or unauthorized disclosures of unencrypted or unsecured health information. </w:t>
            </w:r>
          </w:p>
        </w:tc>
        <w:tc>
          <w:tcPr>
            <w:tcW w:w="1620" w:type="dxa"/>
          </w:tcPr>
          <w:p w14:paraId="1A8ED370" w14:textId="77777777" w:rsidR="00A83766" w:rsidRPr="006D2945" w:rsidRDefault="00A83766">
            <w:pPr>
              <w:rPr>
                <w:rFonts w:ascii="Arial" w:hAnsi="Arial" w:cs="Arial"/>
                <w:sz w:val="24"/>
                <w:szCs w:val="24"/>
              </w:rPr>
            </w:pPr>
          </w:p>
        </w:tc>
      </w:tr>
      <w:tr w:rsidR="001C1862" w:rsidRPr="006D2945" w14:paraId="6FB33F8D" w14:textId="77777777" w:rsidTr="00CB196F">
        <w:tc>
          <w:tcPr>
            <w:tcW w:w="2093" w:type="dxa"/>
          </w:tcPr>
          <w:p w14:paraId="0F5525D6"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2.6.0 – Incidental Disclosures </w:t>
            </w:r>
          </w:p>
        </w:tc>
        <w:tc>
          <w:tcPr>
            <w:tcW w:w="2317" w:type="dxa"/>
          </w:tcPr>
          <w:p w14:paraId="50994102"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2.6.1 – Incidental Disclosures </w:t>
            </w:r>
          </w:p>
        </w:tc>
        <w:tc>
          <w:tcPr>
            <w:tcW w:w="6863" w:type="dxa"/>
          </w:tcPr>
          <w:p w14:paraId="225FC165" w14:textId="77777777" w:rsidR="00320629" w:rsidRDefault="001C1862" w:rsidP="00C41863">
            <w:pPr>
              <w:rPr>
                <w:rFonts w:ascii="Arial" w:hAnsi="Arial" w:cs="Arial"/>
                <w:sz w:val="24"/>
                <w:szCs w:val="24"/>
              </w:rPr>
            </w:pPr>
            <w:r w:rsidRPr="006D2945">
              <w:rPr>
                <w:rFonts w:ascii="Arial" w:hAnsi="Arial" w:cs="Arial"/>
                <w:sz w:val="24"/>
                <w:szCs w:val="24"/>
              </w:rPr>
              <w:t xml:space="preserve">III. A. State entities are responsible to develop and implement policies and procedures that require their workforce to limit and prevent disclosures of health information. When those disclosures are incidental to a permitted or required use or disclosure, it does not apply to impermissible uses or disclosures. </w:t>
            </w:r>
          </w:p>
          <w:p w14:paraId="4E8B0719" w14:textId="77777777" w:rsidR="001C1862" w:rsidRPr="006D2945" w:rsidRDefault="001C1862" w:rsidP="00C41863">
            <w:pPr>
              <w:rPr>
                <w:rFonts w:ascii="Arial" w:hAnsi="Arial" w:cs="Arial"/>
                <w:sz w:val="24"/>
                <w:szCs w:val="24"/>
              </w:rPr>
            </w:pPr>
            <w:r w:rsidRPr="006D2945">
              <w:rPr>
                <w:rFonts w:ascii="Arial" w:hAnsi="Arial" w:cs="Arial"/>
                <w:sz w:val="24"/>
                <w:szCs w:val="24"/>
              </w:rPr>
              <w:t>(see also sub items 1-3)</w:t>
            </w:r>
          </w:p>
        </w:tc>
        <w:tc>
          <w:tcPr>
            <w:tcW w:w="1620" w:type="dxa"/>
          </w:tcPr>
          <w:p w14:paraId="469C27E4" w14:textId="77777777" w:rsidR="001C1862" w:rsidRPr="006D2945" w:rsidRDefault="001C1862">
            <w:pPr>
              <w:rPr>
                <w:rFonts w:ascii="Arial" w:hAnsi="Arial" w:cs="Arial"/>
                <w:sz w:val="24"/>
                <w:szCs w:val="24"/>
              </w:rPr>
            </w:pPr>
          </w:p>
        </w:tc>
      </w:tr>
      <w:tr w:rsidR="001C1862" w:rsidRPr="006D2945" w14:paraId="29C2B2E3" w14:textId="77777777" w:rsidTr="00CB196F">
        <w:tc>
          <w:tcPr>
            <w:tcW w:w="2093" w:type="dxa"/>
          </w:tcPr>
          <w:p w14:paraId="4A99E960"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2.9.0 – Requirements for Telehealth </w:t>
            </w:r>
          </w:p>
        </w:tc>
        <w:tc>
          <w:tcPr>
            <w:tcW w:w="2317" w:type="dxa"/>
          </w:tcPr>
          <w:p w14:paraId="0D9AEA1C"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2.9.1 – Requirements for Telehealth </w:t>
            </w:r>
          </w:p>
        </w:tc>
        <w:tc>
          <w:tcPr>
            <w:tcW w:w="6863" w:type="dxa"/>
          </w:tcPr>
          <w:p w14:paraId="0B13ECAC" w14:textId="77777777" w:rsidR="001C1862" w:rsidRPr="006D2945" w:rsidRDefault="001C1862" w:rsidP="00C41863">
            <w:pPr>
              <w:rPr>
                <w:rFonts w:ascii="Arial" w:hAnsi="Arial" w:cs="Arial"/>
                <w:sz w:val="24"/>
                <w:szCs w:val="24"/>
              </w:rPr>
            </w:pPr>
            <w:r w:rsidRPr="006D2945">
              <w:rPr>
                <w:rFonts w:ascii="Arial" w:hAnsi="Arial" w:cs="Arial"/>
                <w:sz w:val="24"/>
                <w:szCs w:val="24"/>
              </w:rPr>
              <w:t>II. Health care providers using telehealth to deliver health care services are responsible for implementing and maintaining security and privacy policies and procedures that address the unique circumstances involved in providing telehealth services.</w:t>
            </w:r>
          </w:p>
        </w:tc>
        <w:tc>
          <w:tcPr>
            <w:tcW w:w="1620" w:type="dxa"/>
          </w:tcPr>
          <w:p w14:paraId="166B3451" w14:textId="77777777" w:rsidR="001C1862" w:rsidRPr="006D2945" w:rsidRDefault="001C1862">
            <w:pPr>
              <w:rPr>
                <w:rFonts w:ascii="Arial" w:hAnsi="Arial" w:cs="Arial"/>
                <w:sz w:val="24"/>
                <w:szCs w:val="24"/>
              </w:rPr>
            </w:pPr>
          </w:p>
        </w:tc>
      </w:tr>
      <w:tr w:rsidR="00A83766" w:rsidRPr="006D2945" w14:paraId="718984BB" w14:textId="77777777" w:rsidTr="00CB196F">
        <w:tc>
          <w:tcPr>
            <w:tcW w:w="2093" w:type="dxa"/>
            <w:vMerge w:val="restart"/>
          </w:tcPr>
          <w:p w14:paraId="2D556F6E" w14:textId="77777777" w:rsidR="00A83766" w:rsidRPr="006D2945" w:rsidRDefault="00A83766" w:rsidP="00577C6C">
            <w:pPr>
              <w:rPr>
                <w:rFonts w:ascii="Arial" w:hAnsi="Arial" w:cs="Arial"/>
                <w:sz w:val="24"/>
                <w:szCs w:val="24"/>
              </w:rPr>
            </w:pPr>
            <w:r w:rsidRPr="006D2945">
              <w:rPr>
                <w:rFonts w:ascii="Arial" w:hAnsi="Arial" w:cs="Arial"/>
                <w:sz w:val="24"/>
                <w:szCs w:val="24"/>
              </w:rPr>
              <w:t xml:space="preserve">3.1.0 – Administrative Safeguards </w:t>
            </w:r>
          </w:p>
          <w:p w14:paraId="41A094F2" w14:textId="77777777" w:rsidR="00A83766" w:rsidRPr="006D2945" w:rsidRDefault="00A83766" w:rsidP="00577C6C">
            <w:pPr>
              <w:rPr>
                <w:rFonts w:ascii="Arial" w:hAnsi="Arial" w:cs="Arial"/>
                <w:sz w:val="24"/>
                <w:szCs w:val="24"/>
              </w:rPr>
            </w:pPr>
          </w:p>
          <w:p w14:paraId="487ED46A" w14:textId="77777777" w:rsidR="00A83766" w:rsidRPr="006D2945" w:rsidRDefault="00A83766" w:rsidP="00577C6C">
            <w:pPr>
              <w:rPr>
                <w:rFonts w:ascii="Arial" w:hAnsi="Arial" w:cs="Arial"/>
                <w:sz w:val="24"/>
                <w:szCs w:val="24"/>
              </w:rPr>
            </w:pPr>
          </w:p>
        </w:tc>
        <w:tc>
          <w:tcPr>
            <w:tcW w:w="2317" w:type="dxa"/>
          </w:tcPr>
          <w:p w14:paraId="44A7D1CE" w14:textId="77777777" w:rsidR="00A83766" w:rsidRPr="006D2945" w:rsidRDefault="00A83766" w:rsidP="00577C6C">
            <w:pPr>
              <w:rPr>
                <w:rFonts w:ascii="Arial" w:hAnsi="Arial" w:cs="Arial"/>
                <w:sz w:val="24"/>
                <w:szCs w:val="24"/>
              </w:rPr>
            </w:pPr>
            <w:r w:rsidRPr="006D2945">
              <w:rPr>
                <w:rFonts w:ascii="Arial" w:hAnsi="Arial" w:cs="Arial"/>
                <w:sz w:val="24"/>
                <w:szCs w:val="24"/>
              </w:rPr>
              <w:t xml:space="preserve">3.1.1 – Contingency Plans </w:t>
            </w:r>
          </w:p>
        </w:tc>
        <w:tc>
          <w:tcPr>
            <w:tcW w:w="6863" w:type="dxa"/>
          </w:tcPr>
          <w:p w14:paraId="7528A9DE" w14:textId="77777777" w:rsidR="00A83766" w:rsidRPr="006D2945" w:rsidRDefault="00A83766">
            <w:pPr>
              <w:rPr>
                <w:rFonts w:ascii="Arial" w:hAnsi="Arial" w:cs="Arial"/>
                <w:sz w:val="24"/>
                <w:szCs w:val="24"/>
              </w:rPr>
            </w:pPr>
            <w:r w:rsidRPr="006D2945">
              <w:rPr>
                <w:rFonts w:ascii="Arial" w:hAnsi="Arial" w:cs="Arial"/>
                <w:sz w:val="24"/>
                <w:szCs w:val="24"/>
              </w:rPr>
              <w:t>II. Policies and procedures must be implemented specifying how to respond to an emergency, or other unexpected occurrences (e.g., fires, natural disasters, system failures), that may damage systems containing health information. (</w:t>
            </w:r>
            <w:proofErr w:type="gramStart"/>
            <w:r w:rsidRPr="006D2945">
              <w:rPr>
                <w:rFonts w:ascii="Arial" w:hAnsi="Arial" w:cs="Arial"/>
                <w:sz w:val="24"/>
                <w:szCs w:val="24"/>
              </w:rPr>
              <w:t>see</w:t>
            </w:r>
            <w:proofErr w:type="gramEnd"/>
            <w:r w:rsidRPr="006D2945">
              <w:rPr>
                <w:rFonts w:ascii="Arial" w:hAnsi="Arial" w:cs="Arial"/>
                <w:sz w:val="24"/>
                <w:szCs w:val="24"/>
              </w:rPr>
              <w:t xml:space="preserve"> also III. A for specifics)</w:t>
            </w:r>
          </w:p>
        </w:tc>
        <w:tc>
          <w:tcPr>
            <w:tcW w:w="1620" w:type="dxa"/>
          </w:tcPr>
          <w:p w14:paraId="3409A847" w14:textId="77777777" w:rsidR="00A83766" w:rsidRPr="006D2945" w:rsidRDefault="00A83766">
            <w:pPr>
              <w:rPr>
                <w:rFonts w:ascii="Arial" w:hAnsi="Arial" w:cs="Arial"/>
                <w:sz w:val="24"/>
                <w:szCs w:val="24"/>
              </w:rPr>
            </w:pPr>
          </w:p>
        </w:tc>
      </w:tr>
      <w:tr w:rsidR="00A83766" w:rsidRPr="006D2945" w14:paraId="4C4761F3" w14:textId="77777777" w:rsidTr="00CB196F">
        <w:trPr>
          <w:cantSplit/>
        </w:trPr>
        <w:tc>
          <w:tcPr>
            <w:tcW w:w="2093" w:type="dxa"/>
            <w:vMerge/>
          </w:tcPr>
          <w:p w14:paraId="43B5EB13" w14:textId="77777777" w:rsidR="00A83766" w:rsidRPr="006D2945" w:rsidRDefault="00A83766" w:rsidP="00577C6C">
            <w:pPr>
              <w:rPr>
                <w:rFonts w:ascii="Arial" w:hAnsi="Arial" w:cs="Arial"/>
                <w:sz w:val="24"/>
                <w:szCs w:val="24"/>
              </w:rPr>
            </w:pPr>
          </w:p>
        </w:tc>
        <w:tc>
          <w:tcPr>
            <w:tcW w:w="2317" w:type="dxa"/>
          </w:tcPr>
          <w:p w14:paraId="35081C88" w14:textId="77777777" w:rsidR="00A83766" w:rsidRPr="006D2945" w:rsidRDefault="00A83766" w:rsidP="00577C6C">
            <w:pPr>
              <w:rPr>
                <w:rFonts w:ascii="Arial" w:hAnsi="Arial" w:cs="Arial"/>
                <w:sz w:val="24"/>
                <w:szCs w:val="24"/>
              </w:rPr>
            </w:pPr>
            <w:r w:rsidRPr="006D2945">
              <w:rPr>
                <w:rFonts w:ascii="Arial" w:hAnsi="Arial" w:cs="Arial"/>
                <w:sz w:val="24"/>
                <w:szCs w:val="24"/>
              </w:rPr>
              <w:t xml:space="preserve">3.1.2 – Incident Procedures </w:t>
            </w:r>
          </w:p>
          <w:p w14:paraId="133B6513" w14:textId="77777777" w:rsidR="00A83766" w:rsidRPr="006D2945" w:rsidRDefault="00A83766" w:rsidP="00577C6C">
            <w:pPr>
              <w:rPr>
                <w:rFonts w:ascii="Arial" w:hAnsi="Arial" w:cs="Arial"/>
                <w:sz w:val="24"/>
                <w:szCs w:val="24"/>
              </w:rPr>
            </w:pPr>
          </w:p>
        </w:tc>
        <w:tc>
          <w:tcPr>
            <w:tcW w:w="6863" w:type="dxa"/>
          </w:tcPr>
          <w:p w14:paraId="68A1514F" w14:textId="77777777" w:rsidR="00A83766" w:rsidRPr="006D2945" w:rsidRDefault="00A83766">
            <w:pPr>
              <w:rPr>
                <w:rFonts w:ascii="Arial" w:hAnsi="Arial" w:cs="Arial"/>
                <w:sz w:val="24"/>
                <w:szCs w:val="24"/>
              </w:rPr>
            </w:pPr>
            <w:r w:rsidRPr="006D2945">
              <w:rPr>
                <w:rFonts w:ascii="Arial" w:hAnsi="Arial" w:cs="Arial"/>
                <w:sz w:val="24"/>
                <w:szCs w:val="24"/>
              </w:rPr>
              <w:t>II. As part of an overall security program, policies and procedures must be implemented that describe how workforce members are to identify, report, respond, and mitigate security incidents affecting health information. (see also III for more specifics)</w:t>
            </w:r>
          </w:p>
        </w:tc>
        <w:tc>
          <w:tcPr>
            <w:tcW w:w="1620" w:type="dxa"/>
          </w:tcPr>
          <w:p w14:paraId="0FB92183" w14:textId="77777777" w:rsidR="00A83766" w:rsidRPr="006D2945" w:rsidRDefault="00A83766">
            <w:pPr>
              <w:rPr>
                <w:rFonts w:ascii="Arial" w:hAnsi="Arial" w:cs="Arial"/>
                <w:sz w:val="24"/>
                <w:szCs w:val="24"/>
              </w:rPr>
            </w:pPr>
          </w:p>
        </w:tc>
      </w:tr>
      <w:tr w:rsidR="00A83766" w:rsidRPr="006D2945" w14:paraId="2D7BFCCD" w14:textId="77777777" w:rsidTr="00CB196F">
        <w:tc>
          <w:tcPr>
            <w:tcW w:w="2093" w:type="dxa"/>
            <w:vMerge/>
          </w:tcPr>
          <w:p w14:paraId="69858C6E" w14:textId="77777777" w:rsidR="00A83766" w:rsidRPr="006D2945" w:rsidRDefault="00A83766">
            <w:pPr>
              <w:rPr>
                <w:rFonts w:ascii="Arial" w:hAnsi="Arial" w:cs="Arial"/>
                <w:sz w:val="24"/>
                <w:szCs w:val="24"/>
              </w:rPr>
            </w:pPr>
          </w:p>
        </w:tc>
        <w:tc>
          <w:tcPr>
            <w:tcW w:w="2317" w:type="dxa"/>
          </w:tcPr>
          <w:p w14:paraId="43693A0B" w14:textId="77777777" w:rsidR="00A83766" w:rsidRPr="006D2945" w:rsidRDefault="00A83766" w:rsidP="00577C6C">
            <w:pPr>
              <w:rPr>
                <w:rFonts w:ascii="Arial" w:hAnsi="Arial" w:cs="Arial"/>
                <w:sz w:val="24"/>
                <w:szCs w:val="24"/>
              </w:rPr>
            </w:pPr>
            <w:r w:rsidRPr="006D2945">
              <w:rPr>
                <w:rFonts w:ascii="Arial" w:hAnsi="Arial" w:cs="Arial"/>
                <w:sz w:val="24"/>
                <w:szCs w:val="24"/>
              </w:rPr>
              <w:t xml:space="preserve">3.1.3 – Information Access Management </w:t>
            </w:r>
          </w:p>
          <w:p w14:paraId="36E488EB" w14:textId="77777777" w:rsidR="00A83766" w:rsidRPr="006D2945" w:rsidRDefault="00A83766" w:rsidP="00577C6C">
            <w:pPr>
              <w:rPr>
                <w:rFonts w:ascii="Arial" w:hAnsi="Arial" w:cs="Arial"/>
                <w:sz w:val="24"/>
                <w:szCs w:val="24"/>
              </w:rPr>
            </w:pPr>
          </w:p>
        </w:tc>
        <w:tc>
          <w:tcPr>
            <w:tcW w:w="6863" w:type="dxa"/>
          </w:tcPr>
          <w:p w14:paraId="78657FCD" w14:textId="77777777" w:rsidR="00A83766" w:rsidRPr="006D2945" w:rsidRDefault="00A83766" w:rsidP="00577C6C">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 has access to what specific health information and under what conditions. (see also III for more specifics)</w:t>
            </w:r>
          </w:p>
        </w:tc>
        <w:tc>
          <w:tcPr>
            <w:tcW w:w="1620" w:type="dxa"/>
          </w:tcPr>
          <w:p w14:paraId="68E4D2E8" w14:textId="77777777" w:rsidR="00A83766" w:rsidRPr="006D2945" w:rsidRDefault="00A83766">
            <w:pPr>
              <w:rPr>
                <w:rFonts w:ascii="Arial" w:hAnsi="Arial" w:cs="Arial"/>
                <w:sz w:val="24"/>
                <w:szCs w:val="24"/>
              </w:rPr>
            </w:pPr>
          </w:p>
        </w:tc>
      </w:tr>
      <w:tr w:rsidR="00A83766" w:rsidRPr="006D2945" w14:paraId="48000DE7" w14:textId="77777777" w:rsidTr="00CB196F">
        <w:tc>
          <w:tcPr>
            <w:tcW w:w="2093" w:type="dxa"/>
            <w:vMerge/>
          </w:tcPr>
          <w:p w14:paraId="089E1B3E" w14:textId="77777777" w:rsidR="00A83766" w:rsidRPr="006D2945" w:rsidRDefault="00A83766">
            <w:pPr>
              <w:rPr>
                <w:rFonts w:ascii="Arial" w:hAnsi="Arial" w:cs="Arial"/>
                <w:sz w:val="24"/>
                <w:szCs w:val="24"/>
              </w:rPr>
            </w:pPr>
          </w:p>
        </w:tc>
        <w:tc>
          <w:tcPr>
            <w:tcW w:w="2317" w:type="dxa"/>
          </w:tcPr>
          <w:p w14:paraId="3487DA0A" w14:textId="38C18D5B" w:rsidR="00A83766" w:rsidRPr="006D2945" w:rsidRDefault="00A83766" w:rsidP="00C4289F">
            <w:pPr>
              <w:rPr>
                <w:rFonts w:ascii="Arial" w:hAnsi="Arial" w:cs="Arial"/>
                <w:sz w:val="24"/>
                <w:szCs w:val="24"/>
              </w:rPr>
            </w:pPr>
            <w:r w:rsidRPr="006D2945">
              <w:rPr>
                <w:rFonts w:ascii="Arial" w:hAnsi="Arial" w:cs="Arial"/>
                <w:sz w:val="24"/>
                <w:szCs w:val="24"/>
              </w:rPr>
              <w:t xml:space="preserve">3.1.4 – </w:t>
            </w:r>
            <w:r w:rsidR="00CB196F">
              <w:rPr>
                <w:rFonts w:ascii="Arial" w:hAnsi="Arial" w:cs="Arial"/>
                <w:sz w:val="24"/>
                <w:szCs w:val="24"/>
              </w:rPr>
              <w:t>Security Management Process</w:t>
            </w:r>
            <w:r w:rsidRPr="006D2945">
              <w:rPr>
                <w:rFonts w:ascii="Arial" w:hAnsi="Arial" w:cs="Arial"/>
                <w:sz w:val="24"/>
                <w:szCs w:val="24"/>
              </w:rPr>
              <w:t xml:space="preserve"> </w:t>
            </w:r>
          </w:p>
          <w:p w14:paraId="5AC4742B" w14:textId="77777777" w:rsidR="00A83766" w:rsidRPr="006D2945" w:rsidRDefault="00A83766" w:rsidP="00C4289F">
            <w:pPr>
              <w:rPr>
                <w:rFonts w:ascii="Arial" w:hAnsi="Arial" w:cs="Arial"/>
                <w:sz w:val="24"/>
                <w:szCs w:val="24"/>
              </w:rPr>
            </w:pPr>
          </w:p>
        </w:tc>
        <w:tc>
          <w:tcPr>
            <w:tcW w:w="6863" w:type="dxa"/>
          </w:tcPr>
          <w:p w14:paraId="3DA97ADA" w14:textId="77777777" w:rsidR="00A83766" w:rsidRPr="006D2945" w:rsidRDefault="00A83766">
            <w:pPr>
              <w:rPr>
                <w:rFonts w:ascii="Arial" w:hAnsi="Arial" w:cs="Arial"/>
                <w:sz w:val="24"/>
                <w:szCs w:val="24"/>
              </w:rPr>
            </w:pPr>
            <w:r w:rsidRPr="006D2945">
              <w:rPr>
                <w:rFonts w:ascii="Arial" w:hAnsi="Arial" w:cs="Arial"/>
                <w:sz w:val="24"/>
                <w:szCs w:val="24"/>
              </w:rPr>
              <w:t>II. Health information must be protected through implementation of security policies and procedures…(see also III for more specifics)</w:t>
            </w:r>
          </w:p>
        </w:tc>
        <w:tc>
          <w:tcPr>
            <w:tcW w:w="1620" w:type="dxa"/>
          </w:tcPr>
          <w:p w14:paraId="29DABFE2" w14:textId="77777777" w:rsidR="00A83766" w:rsidRPr="006D2945" w:rsidRDefault="00A83766">
            <w:pPr>
              <w:rPr>
                <w:rFonts w:ascii="Arial" w:hAnsi="Arial" w:cs="Arial"/>
                <w:sz w:val="24"/>
                <w:szCs w:val="24"/>
              </w:rPr>
            </w:pPr>
          </w:p>
        </w:tc>
      </w:tr>
      <w:tr w:rsidR="00A83766" w:rsidRPr="006D2945" w14:paraId="2CD3DEE8" w14:textId="77777777" w:rsidTr="00CB196F">
        <w:tc>
          <w:tcPr>
            <w:tcW w:w="2093" w:type="dxa"/>
            <w:vMerge/>
          </w:tcPr>
          <w:p w14:paraId="452237BA" w14:textId="77777777" w:rsidR="00A83766" w:rsidRPr="006D2945" w:rsidRDefault="00A83766">
            <w:pPr>
              <w:rPr>
                <w:rFonts w:ascii="Arial" w:hAnsi="Arial" w:cs="Arial"/>
                <w:sz w:val="24"/>
                <w:szCs w:val="24"/>
              </w:rPr>
            </w:pPr>
          </w:p>
        </w:tc>
        <w:tc>
          <w:tcPr>
            <w:tcW w:w="2317" w:type="dxa"/>
          </w:tcPr>
          <w:p w14:paraId="4CC0A81F" w14:textId="77777777" w:rsidR="00A83766" w:rsidRPr="006D2945" w:rsidRDefault="00A83766" w:rsidP="00084171">
            <w:pPr>
              <w:rPr>
                <w:rFonts w:ascii="Arial" w:hAnsi="Arial" w:cs="Arial"/>
                <w:sz w:val="24"/>
                <w:szCs w:val="24"/>
              </w:rPr>
            </w:pPr>
            <w:r w:rsidRPr="006D2945">
              <w:rPr>
                <w:rFonts w:ascii="Arial" w:hAnsi="Arial" w:cs="Arial"/>
                <w:sz w:val="24"/>
                <w:szCs w:val="24"/>
              </w:rPr>
              <w:t xml:space="preserve">3.1.7 – Verification of Identity </w:t>
            </w:r>
          </w:p>
          <w:p w14:paraId="15FE8707" w14:textId="77777777" w:rsidR="00A83766" w:rsidRPr="006D2945" w:rsidRDefault="00A83766" w:rsidP="00084171">
            <w:pPr>
              <w:rPr>
                <w:rFonts w:ascii="Arial" w:hAnsi="Arial" w:cs="Arial"/>
                <w:sz w:val="24"/>
                <w:szCs w:val="24"/>
              </w:rPr>
            </w:pPr>
          </w:p>
        </w:tc>
        <w:tc>
          <w:tcPr>
            <w:tcW w:w="6863" w:type="dxa"/>
          </w:tcPr>
          <w:p w14:paraId="608EE23F" w14:textId="77777777" w:rsidR="00A83766" w:rsidRPr="006D2945" w:rsidRDefault="00A83766">
            <w:pPr>
              <w:rPr>
                <w:rFonts w:ascii="Arial" w:hAnsi="Arial" w:cs="Arial"/>
                <w:sz w:val="24"/>
                <w:szCs w:val="24"/>
              </w:rPr>
            </w:pPr>
            <w:r w:rsidRPr="006D2945">
              <w:rPr>
                <w:rFonts w:ascii="Arial" w:hAnsi="Arial" w:cs="Arial"/>
                <w:sz w:val="24"/>
                <w:szCs w:val="24"/>
              </w:rPr>
              <w:t>II. Policies and procedures must be implemented and maintained (i.e., periodically updated, on file, and used regularly) which specify that prior to disclosing health information, the identity of the requestor must be verified, and the authority that entitles the requestor to access health information must be established.</w:t>
            </w:r>
          </w:p>
        </w:tc>
        <w:tc>
          <w:tcPr>
            <w:tcW w:w="1620" w:type="dxa"/>
          </w:tcPr>
          <w:p w14:paraId="648A6865" w14:textId="77777777" w:rsidR="00A83766" w:rsidRPr="006D2945" w:rsidRDefault="00A83766">
            <w:pPr>
              <w:rPr>
                <w:rFonts w:ascii="Arial" w:hAnsi="Arial" w:cs="Arial"/>
                <w:sz w:val="24"/>
                <w:szCs w:val="24"/>
              </w:rPr>
            </w:pPr>
          </w:p>
        </w:tc>
      </w:tr>
      <w:tr w:rsidR="00A83766" w:rsidRPr="006D2945" w14:paraId="0AC8C5FB" w14:textId="77777777" w:rsidTr="00CB196F">
        <w:tc>
          <w:tcPr>
            <w:tcW w:w="2093" w:type="dxa"/>
            <w:vMerge/>
          </w:tcPr>
          <w:p w14:paraId="571B398E" w14:textId="77777777" w:rsidR="00A83766" w:rsidRPr="006D2945" w:rsidRDefault="00A83766">
            <w:pPr>
              <w:rPr>
                <w:rFonts w:ascii="Arial" w:hAnsi="Arial" w:cs="Arial"/>
                <w:sz w:val="24"/>
                <w:szCs w:val="24"/>
              </w:rPr>
            </w:pPr>
          </w:p>
        </w:tc>
        <w:tc>
          <w:tcPr>
            <w:tcW w:w="2317" w:type="dxa"/>
          </w:tcPr>
          <w:p w14:paraId="4A7BDD2B" w14:textId="77777777" w:rsidR="00A83766" w:rsidRPr="006D2945" w:rsidRDefault="00A83766" w:rsidP="00084171">
            <w:pPr>
              <w:rPr>
                <w:rFonts w:ascii="Arial" w:hAnsi="Arial" w:cs="Arial"/>
                <w:sz w:val="24"/>
                <w:szCs w:val="24"/>
              </w:rPr>
            </w:pPr>
            <w:r w:rsidRPr="006D2945">
              <w:rPr>
                <w:rFonts w:ascii="Arial" w:hAnsi="Arial" w:cs="Arial"/>
                <w:sz w:val="24"/>
                <w:szCs w:val="24"/>
              </w:rPr>
              <w:t xml:space="preserve">3.1.8 – Workforce Security </w:t>
            </w:r>
          </w:p>
        </w:tc>
        <w:tc>
          <w:tcPr>
            <w:tcW w:w="6863" w:type="dxa"/>
          </w:tcPr>
          <w:p w14:paraId="0CE099A2" w14:textId="77777777" w:rsidR="00A83766" w:rsidRPr="006D2945" w:rsidRDefault="00A83766" w:rsidP="00084171">
            <w:pPr>
              <w:rPr>
                <w:rFonts w:ascii="Arial" w:hAnsi="Arial" w:cs="Arial"/>
                <w:sz w:val="24"/>
                <w:szCs w:val="24"/>
              </w:rPr>
            </w:pPr>
            <w:r w:rsidRPr="006D2945">
              <w:rPr>
                <w:rFonts w:ascii="Arial" w:hAnsi="Arial" w:cs="Arial"/>
                <w:sz w:val="24"/>
                <w:szCs w:val="24"/>
              </w:rPr>
              <w:t>II. (</w:t>
            </w:r>
            <w:proofErr w:type="gramStart"/>
            <w:r w:rsidRPr="006D2945">
              <w:rPr>
                <w:rFonts w:ascii="Arial" w:hAnsi="Arial" w:cs="Arial"/>
                <w:sz w:val="24"/>
                <w:szCs w:val="24"/>
              </w:rPr>
              <w:t>and</w:t>
            </w:r>
            <w:proofErr w:type="gramEnd"/>
            <w:r w:rsidRPr="006D2945">
              <w:rPr>
                <w:rFonts w:ascii="Arial" w:hAnsi="Arial" w:cs="Arial"/>
                <w:sz w:val="24"/>
                <w:szCs w:val="24"/>
              </w:rPr>
              <w:t xml:space="preserve"> III. A.) State entities are responsible to implement policies and procedures that limit or restrict access of health information to only those workforce members whose work requires access. </w:t>
            </w:r>
          </w:p>
        </w:tc>
        <w:tc>
          <w:tcPr>
            <w:tcW w:w="1620" w:type="dxa"/>
          </w:tcPr>
          <w:p w14:paraId="1F729B9E" w14:textId="77777777" w:rsidR="00A83766" w:rsidRPr="006D2945" w:rsidRDefault="00A83766">
            <w:pPr>
              <w:rPr>
                <w:rFonts w:ascii="Arial" w:hAnsi="Arial" w:cs="Arial"/>
                <w:sz w:val="24"/>
                <w:szCs w:val="24"/>
              </w:rPr>
            </w:pPr>
          </w:p>
        </w:tc>
      </w:tr>
      <w:tr w:rsidR="00A83766" w:rsidRPr="006D2945" w14:paraId="7F3BB0F9" w14:textId="77777777" w:rsidTr="00CB196F">
        <w:tc>
          <w:tcPr>
            <w:tcW w:w="2093" w:type="dxa"/>
            <w:vMerge w:val="restart"/>
          </w:tcPr>
          <w:p w14:paraId="535FEFE5" w14:textId="77777777" w:rsidR="00FA05DA" w:rsidRDefault="00A83766" w:rsidP="00084171">
            <w:pPr>
              <w:rPr>
                <w:rFonts w:ascii="Arial" w:hAnsi="Arial" w:cs="Arial"/>
                <w:sz w:val="24"/>
                <w:szCs w:val="24"/>
              </w:rPr>
            </w:pPr>
            <w:r w:rsidRPr="006D2945">
              <w:rPr>
                <w:rFonts w:ascii="Arial" w:hAnsi="Arial" w:cs="Arial"/>
                <w:sz w:val="24"/>
                <w:szCs w:val="24"/>
              </w:rPr>
              <w:t xml:space="preserve">3.2.0 – Physical Safeguards </w:t>
            </w:r>
          </w:p>
          <w:p w14:paraId="2283097F" w14:textId="77777777" w:rsidR="00FA05DA" w:rsidRPr="00FA05DA" w:rsidRDefault="00FA05DA" w:rsidP="00FA05DA">
            <w:pPr>
              <w:rPr>
                <w:rFonts w:ascii="Arial" w:hAnsi="Arial" w:cs="Arial"/>
                <w:sz w:val="24"/>
                <w:szCs w:val="24"/>
              </w:rPr>
            </w:pPr>
          </w:p>
          <w:p w14:paraId="181016CB" w14:textId="77777777" w:rsidR="00FA05DA" w:rsidRPr="00FA05DA" w:rsidRDefault="00FA05DA" w:rsidP="00FA05DA">
            <w:pPr>
              <w:rPr>
                <w:rFonts w:ascii="Arial" w:hAnsi="Arial" w:cs="Arial"/>
                <w:sz w:val="24"/>
                <w:szCs w:val="24"/>
              </w:rPr>
            </w:pPr>
          </w:p>
          <w:p w14:paraId="3C47326D" w14:textId="77777777" w:rsidR="00FA05DA" w:rsidRPr="00FA05DA" w:rsidRDefault="00FA05DA" w:rsidP="00FA05DA">
            <w:pPr>
              <w:rPr>
                <w:rFonts w:ascii="Arial" w:hAnsi="Arial" w:cs="Arial"/>
                <w:sz w:val="24"/>
                <w:szCs w:val="24"/>
              </w:rPr>
            </w:pPr>
          </w:p>
          <w:p w14:paraId="126660C8" w14:textId="77777777" w:rsidR="00FA05DA" w:rsidRPr="00FA05DA" w:rsidRDefault="00FA05DA" w:rsidP="00FA05DA">
            <w:pPr>
              <w:rPr>
                <w:rFonts w:ascii="Arial" w:hAnsi="Arial" w:cs="Arial"/>
                <w:sz w:val="24"/>
                <w:szCs w:val="24"/>
              </w:rPr>
            </w:pPr>
          </w:p>
          <w:p w14:paraId="7C9BA2AF" w14:textId="77777777" w:rsidR="00FA05DA" w:rsidRPr="00FA05DA" w:rsidRDefault="00FA05DA" w:rsidP="00FA05DA">
            <w:pPr>
              <w:rPr>
                <w:rFonts w:ascii="Arial" w:hAnsi="Arial" w:cs="Arial"/>
                <w:sz w:val="24"/>
                <w:szCs w:val="24"/>
              </w:rPr>
            </w:pPr>
          </w:p>
          <w:p w14:paraId="79BCFF18" w14:textId="77777777" w:rsidR="00FA05DA" w:rsidRPr="00FA05DA" w:rsidRDefault="00FA05DA" w:rsidP="00FA05DA">
            <w:pPr>
              <w:rPr>
                <w:rFonts w:ascii="Arial" w:hAnsi="Arial" w:cs="Arial"/>
                <w:sz w:val="24"/>
                <w:szCs w:val="24"/>
              </w:rPr>
            </w:pPr>
          </w:p>
          <w:p w14:paraId="62932EBB" w14:textId="77777777" w:rsidR="00FA05DA" w:rsidRPr="00FA05DA" w:rsidRDefault="00FA05DA" w:rsidP="00FA05DA">
            <w:pPr>
              <w:rPr>
                <w:rFonts w:ascii="Arial" w:hAnsi="Arial" w:cs="Arial"/>
                <w:sz w:val="24"/>
                <w:szCs w:val="24"/>
              </w:rPr>
            </w:pPr>
          </w:p>
          <w:p w14:paraId="4374B53E" w14:textId="77777777" w:rsidR="00FA05DA" w:rsidRPr="00FA05DA" w:rsidRDefault="00FA05DA" w:rsidP="00FA05DA">
            <w:pPr>
              <w:rPr>
                <w:rFonts w:ascii="Arial" w:hAnsi="Arial" w:cs="Arial"/>
                <w:sz w:val="24"/>
                <w:szCs w:val="24"/>
              </w:rPr>
            </w:pPr>
          </w:p>
          <w:p w14:paraId="6F59E848" w14:textId="77777777" w:rsidR="00FA05DA" w:rsidRPr="00FA05DA" w:rsidRDefault="00FA05DA" w:rsidP="00FA05DA">
            <w:pPr>
              <w:rPr>
                <w:rFonts w:ascii="Arial" w:hAnsi="Arial" w:cs="Arial"/>
                <w:sz w:val="24"/>
                <w:szCs w:val="24"/>
              </w:rPr>
            </w:pPr>
          </w:p>
          <w:p w14:paraId="67310D69" w14:textId="77777777" w:rsidR="00FA05DA" w:rsidRPr="00FA05DA" w:rsidRDefault="00FA05DA" w:rsidP="00FA05DA">
            <w:pPr>
              <w:rPr>
                <w:rFonts w:ascii="Arial" w:hAnsi="Arial" w:cs="Arial"/>
                <w:sz w:val="24"/>
                <w:szCs w:val="24"/>
              </w:rPr>
            </w:pPr>
          </w:p>
          <w:p w14:paraId="5FDC6DB4" w14:textId="77777777" w:rsidR="00FA05DA" w:rsidRDefault="00FA05DA" w:rsidP="00FA05DA">
            <w:pPr>
              <w:rPr>
                <w:rFonts w:ascii="Arial" w:hAnsi="Arial" w:cs="Arial"/>
                <w:sz w:val="24"/>
                <w:szCs w:val="24"/>
              </w:rPr>
            </w:pPr>
          </w:p>
          <w:p w14:paraId="26697632" w14:textId="77777777" w:rsidR="00FA05DA" w:rsidRPr="00FA05DA" w:rsidRDefault="00FA05DA" w:rsidP="00FA05DA">
            <w:pPr>
              <w:rPr>
                <w:rFonts w:ascii="Arial" w:hAnsi="Arial" w:cs="Arial"/>
                <w:sz w:val="24"/>
                <w:szCs w:val="24"/>
              </w:rPr>
            </w:pPr>
          </w:p>
          <w:p w14:paraId="36E833E8" w14:textId="77777777" w:rsidR="00FA05DA" w:rsidRPr="00FA05DA" w:rsidRDefault="00FA05DA" w:rsidP="00FA05DA">
            <w:pPr>
              <w:rPr>
                <w:rFonts w:ascii="Arial" w:hAnsi="Arial" w:cs="Arial"/>
                <w:sz w:val="24"/>
                <w:szCs w:val="24"/>
              </w:rPr>
            </w:pPr>
          </w:p>
          <w:p w14:paraId="051C19A9" w14:textId="77777777" w:rsidR="00FA05DA" w:rsidRPr="00FA05DA" w:rsidRDefault="00FA05DA" w:rsidP="00FA05DA">
            <w:pPr>
              <w:rPr>
                <w:rFonts w:ascii="Arial" w:hAnsi="Arial" w:cs="Arial"/>
                <w:sz w:val="24"/>
                <w:szCs w:val="24"/>
              </w:rPr>
            </w:pPr>
          </w:p>
          <w:p w14:paraId="22111BB9" w14:textId="77777777" w:rsidR="00FA05DA" w:rsidRPr="00FA05DA" w:rsidRDefault="00FA05DA" w:rsidP="00FA05DA">
            <w:pPr>
              <w:rPr>
                <w:rFonts w:ascii="Arial" w:hAnsi="Arial" w:cs="Arial"/>
                <w:sz w:val="24"/>
                <w:szCs w:val="24"/>
              </w:rPr>
            </w:pPr>
          </w:p>
          <w:p w14:paraId="05614BF2" w14:textId="77777777" w:rsidR="00FA05DA" w:rsidRDefault="00FA05DA" w:rsidP="00FA05DA">
            <w:pPr>
              <w:rPr>
                <w:rFonts w:ascii="Arial" w:hAnsi="Arial" w:cs="Arial"/>
                <w:sz w:val="24"/>
                <w:szCs w:val="24"/>
              </w:rPr>
            </w:pPr>
          </w:p>
          <w:p w14:paraId="00AB3E30" w14:textId="77777777" w:rsidR="00FA05DA" w:rsidRPr="00FA05DA" w:rsidRDefault="00FA05DA" w:rsidP="00FA05DA">
            <w:pPr>
              <w:rPr>
                <w:rFonts w:ascii="Arial" w:hAnsi="Arial" w:cs="Arial"/>
                <w:sz w:val="24"/>
                <w:szCs w:val="24"/>
              </w:rPr>
            </w:pPr>
          </w:p>
          <w:p w14:paraId="447D5E8D" w14:textId="77777777" w:rsidR="00FA05DA" w:rsidRDefault="00FA05DA" w:rsidP="00FA05DA">
            <w:pPr>
              <w:rPr>
                <w:rFonts w:ascii="Arial" w:hAnsi="Arial" w:cs="Arial"/>
                <w:sz w:val="24"/>
                <w:szCs w:val="24"/>
              </w:rPr>
            </w:pPr>
          </w:p>
          <w:p w14:paraId="18A11A06" w14:textId="77777777" w:rsidR="00FA05DA" w:rsidRDefault="00FA05DA" w:rsidP="00FA05DA">
            <w:pPr>
              <w:rPr>
                <w:rFonts w:ascii="Arial" w:hAnsi="Arial" w:cs="Arial"/>
                <w:sz w:val="24"/>
                <w:szCs w:val="24"/>
              </w:rPr>
            </w:pPr>
          </w:p>
          <w:p w14:paraId="77700C1A" w14:textId="77777777" w:rsidR="00A83766" w:rsidRPr="00FA05DA" w:rsidRDefault="00A83766" w:rsidP="00FA05DA">
            <w:pPr>
              <w:rPr>
                <w:rFonts w:ascii="Arial" w:hAnsi="Arial" w:cs="Arial"/>
                <w:sz w:val="24"/>
                <w:szCs w:val="24"/>
              </w:rPr>
            </w:pPr>
          </w:p>
        </w:tc>
        <w:tc>
          <w:tcPr>
            <w:tcW w:w="2317" w:type="dxa"/>
          </w:tcPr>
          <w:p w14:paraId="208D3CEE" w14:textId="77777777" w:rsidR="00A83766" w:rsidRPr="006D2945" w:rsidRDefault="00A83766" w:rsidP="00084171">
            <w:pPr>
              <w:rPr>
                <w:rFonts w:ascii="Arial" w:hAnsi="Arial" w:cs="Arial"/>
                <w:sz w:val="24"/>
                <w:szCs w:val="24"/>
              </w:rPr>
            </w:pPr>
            <w:r w:rsidRPr="006D2945">
              <w:rPr>
                <w:rFonts w:ascii="Arial" w:hAnsi="Arial" w:cs="Arial"/>
                <w:sz w:val="24"/>
                <w:szCs w:val="24"/>
              </w:rPr>
              <w:lastRenderedPageBreak/>
              <w:t xml:space="preserve">3.2.1 – Access Control </w:t>
            </w:r>
          </w:p>
          <w:p w14:paraId="6567371F" w14:textId="77777777" w:rsidR="00A83766" w:rsidRPr="006D2945" w:rsidRDefault="00A83766" w:rsidP="00084171">
            <w:pPr>
              <w:rPr>
                <w:rFonts w:ascii="Arial" w:hAnsi="Arial" w:cs="Arial"/>
                <w:sz w:val="24"/>
                <w:szCs w:val="24"/>
              </w:rPr>
            </w:pPr>
          </w:p>
        </w:tc>
        <w:tc>
          <w:tcPr>
            <w:tcW w:w="6863" w:type="dxa"/>
          </w:tcPr>
          <w:p w14:paraId="43BA9719" w14:textId="77777777" w:rsidR="00A83766" w:rsidRPr="006D2945" w:rsidRDefault="00A83766">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 has access to what specific health information and under what conditions. (</w:t>
            </w:r>
            <w:proofErr w:type="gramStart"/>
            <w:r w:rsidRPr="006D2945">
              <w:rPr>
                <w:rFonts w:ascii="Arial" w:hAnsi="Arial" w:cs="Arial"/>
                <w:sz w:val="24"/>
                <w:szCs w:val="24"/>
              </w:rPr>
              <w:t>see</w:t>
            </w:r>
            <w:proofErr w:type="gramEnd"/>
            <w:r w:rsidRPr="006D2945">
              <w:rPr>
                <w:rFonts w:ascii="Arial" w:hAnsi="Arial" w:cs="Arial"/>
                <w:sz w:val="24"/>
                <w:szCs w:val="24"/>
              </w:rPr>
              <w:t xml:space="preserve"> also III. A for more specifics)</w:t>
            </w:r>
          </w:p>
        </w:tc>
        <w:tc>
          <w:tcPr>
            <w:tcW w:w="1620" w:type="dxa"/>
          </w:tcPr>
          <w:p w14:paraId="68437711" w14:textId="77777777" w:rsidR="00A83766" w:rsidRPr="006D2945" w:rsidRDefault="00A83766">
            <w:pPr>
              <w:rPr>
                <w:rFonts w:ascii="Arial" w:hAnsi="Arial" w:cs="Arial"/>
                <w:sz w:val="24"/>
                <w:szCs w:val="24"/>
              </w:rPr>
            </w:pPr>
          </w:p>
        </w:tc>
      </w:tr>
      <w:tr w:rsidR="00A83766" w:rsidRPr="006D2945" w14:paraId="26E8F0FC" w14:textId="77777777" w:rsidTr="00CB196F">
        <w:tc>
          <w:tcPr>
            <w:tcW w:w="2093" w:type="dxa"/>
            <w:vMerge/>
          </w:tcPr>
          <w:p w14:paraId="30012C94" w14:textId="77777777" w:rsidR="00A83766" w:rsidRPr="006D2945" w:rsidRDefault="00A83766">
            <w:pPr>
              <w:rPr>
                <w:rFonts w:ascii="Arial" w:hAnsi="Arial" w:cs="Arial"/>
                <w:sz w:val="24"/>
                <w:szCs w:val="24"/>
              </w:rPr>
            </w:pPr>
          </w:p>
        </w:tc>
        <w:tc>
          <w:tcPr>
            <w:tcW w:w="2317" w:type="dxa"/>
          </w:tcPr>
          <w:p w14:paraId="381807CD" w14:textId="77777777" w:rsidR="00A83766" w:rsidRPr="006D2945" w:rsidRDefault="00A83766" w:rsidP="00084171">
            <w:pPr>
              <w:rPr>
                <w:rFonts w:ascii="Arial" w:hAnsi="Arial" w:cs="Arial"/>
                <w:sz w:val="24"/>
                <w:szCs w:val="24"/>
              </w:rPr>
            </w:pPr>
            <w:r w:rsidRPr="006D2945">
              <w:rPr>
                <w:rFonts w:ascii="Arial" w:hAnsi="Arial" w:cs="Arial"/>
                <w:sz w:val="24"/>
                <w:szCs w:val="24"/>
              </w:rPr>
              <w:t xml:space="preserve">3.2.2 – Device and Media Controls </w:t>
            </w:r>
          </w:p>
        </w:tc>
        <w:tc>
          <w:tcPr>
            <w:tcW w:w="6863" w:type="dxa"/>
          </w:tcPr>
          <w:p w14:paraId="0CF01BBE" w14:textId="77777777" w:rsidR="00A83766" w:rsidRPr="006D2945" w:rsidRDefault="00A83766">
            <w:pPr>
              <w:rPr>
                <w:rFonts w:ascii="Arial" w:hAnsi="Arial" w:cs="Arial"/>
                <w:sz w:val="24"/>
                <w:szCs w:val="24"/>
              </w:rPr>
            </w:pPr>
            <w:r w:rsidRPr="006D2945">
              <w:rPr>
                <w:rFonts w:ascii="Arial" w:hAnsi="Arial" w:cs="Arial"/>
                <w:sz w:val="24"/>
                <w:szCs w:val="24"/>
              </w:rPr>
              <w:t>II. Policies and procedures must be implemented to govern the receipt and removal of hardware and electronic media that contain health information, into and out of an entity/organization, and the movement of these items within the entity/organization.</w:t>
            </w:r>
          </w:p>
        </w:tc>
        <w:tc>
          <w:tcPr>
            <w:tcW w:w="1620" w:type="dxa"/>
          </w:tcPr>
          <w:p w14:paraId="7264FA73" w14:textId="77777777" w:rsidR="00A83766" w:rsidRPr="006D2945" w:rsidRDefault="00A83766">
            <w:pPr>
              <w:rPr>
                <w:rFonts w:ascii="Arial" w:hAnsi="Arial" w:cs="Arial"/>
                <w:sz w:val="24"/>
                <w:szCs w:val="24"/>
              </w:rPr>
            </w:pPr>
          </w:p>
        </w:tc>
      </w:tr>
      <w:tr w:rsidR="00A83766" w:rsidRPr="006D2945" w14:paraId="52651595" w14:textId="77777777" w:rsidTr="00CB196F">
        <w:tc>
          <w:tcPr>
            <w:tcW w:w="2093" w:type="dxa"/>
            <w:vMerge/>
          </w:tcPr>
          <w:p w14:paraId="5171B9E7" w14:textId="77777777" w:rsidR="00A83766" w:rsidRPr="006D2945" w:rsidRDefault="00A83766">
            <w:pPr>
              <w:rPr>
                <w:rFonts w:ascii="Arial" w:hAnsi="Arial" w:cs="Arial"/>
                <w:sz w:val="24"/>
                <w:szCs w:val="24"/>
              </w:rPr>
            </w:pPr>
          </w:p>
        </w:tc>
        <w:tc>
          <w:tcPr>
            <w:tcW w:w="2317" w:type="dxa"/>
          </w:tcPr>
          <w:p w14:paraId="12F5C244" w14:textId="77777777" w:rsidR="00A83766" w:rsidRPr="006D2945" w:rsidRDefault="00A83766" w:rsidP="00084171">
            <w:pPr>
              <w:rPr>
                <w:rFonts w:ascii="Arial" w:hAnsi="Arial" w:cs="Arial"/>
                <w:sz w:val="24"/>
                <w:szCs w:val="24"/>
              </w:rPr>
            </w:pPr>
            <w:r w:rsidRPr="006D2945">
              <w:rPr>
                <w:rFonts w:ascii="Arial" w:hAnsi="Arial" w:cs="Arial"/>
                <w:sz w:val="24"/>
                <w:szCs w:val="24"/>
              </w:rPr>
              <w:t xml:space="preserve">3.2.3 – Facility Access Controls </w:t>
            </w:r>
          </w:p>
        </w:tc>
        <w:tc>
          <w:tcPr>
            <w:tcW w:w="6863" w:type="dxa"/>
          </w:tcPr>
          <w:p w14:paraId="792A5B07" w14:textId="77777777" w:rsidR="00A83766" w:rsidRPr="006D2945" w:rsidRDefault="00A83766">
            <w:pPr>
              <w:rPr>
                <w:rFonts w:ascii="Arial" w:hAnsi="Arial" w:cs="Arial"/>
                <w:sz w:val="24"/>
                <w:szCs w:val="24"/>
              </w:rPr>
            </w:pPr>
            <w:r w:rsidRPr="006D2945">
              <w:rPr>
                <w:rFonts w:ascii="Arial" w:hAnsi="Arial" w:cs="Arial"/>
                <w:sz w:val="24"/>
                <w:szCs w:val="24"/>
              </w:rPr>
              <w:t>II. Procedures must be implemented to control and validate a person’s access to facilities based on their role or function, including visitor control, and control of access to software programs for testing and revision.</w:t>
            </w:r>
          </w:p>
        </w:tc>
        <w:tc>
          <w:tcPr>
            <w:tcW w:w="1620" w:type="dxa"/>
          </w:tcPr>
          <w:p w14:paraId="68F321D0" w14:textId="77777777" w:rsidR="00A83766" w:rsidRPr="006D2945" w:rsidRDefault="00A83766">
            <w:pPr>
              <w:rPr>
                <w:rFonts w:ascii="Arial" w:hAnsi="Arial" w:cs="Arial"/>
                <w:sz w:val="24"/>
                <w:szCs w:val="24"/>
              </w:rPr>
            </w:pPr>
          </w:p>
        </w:tc>
      </w:tr>
      <w:tr w:rsidR="00A83766" w:rsidRPr="006D2945" w14:paraId="01E7BA7D" w14:textId="77777777" w:rsidTr="00CB196F">
        <w:tc>
          <w:tcPr>
            <w:tcW w:w="2093" w:type="dxa"/>
            <w:vMerge/>
          </w:tcPr>
          <w:p w14:paraId="0AF9D9FC" w14:textId="77777777" w:rsidR="00A83766" w:rsidRPr="006D2945" w:rsidRDefault="00A83766">
            <w:pPr>
              <w:rPr>
                <w:rFonts w:ascii="Arial" w:hAnsi="Arial" w:cs="Arial"/>
                <w:sz w:val="24"/>
                <w:szCs w:val="24"/>
              </w:rPr>
            </w:pPr>
          </w:p>
        </w:tc>
        <w:tc>
          <w:tcPr>
            <w:tcW w:w="2317" w:type="dxa"/>
          </w:tcPr>
          <w:p w14:paraId="2E2C5EC2" w14:textId="77777777" w:rsidR="00A83766" w:rsidRPr="006D2945" w:rsidRDefault="00A83766" w:rsidP="00084171">
            <w:pPr>
              <w:rPr>
                <w:rFonts w:ascii="Arial" w:hAnsi="Arial" w:cs="Arial"/>
                <w:sz w:val="24"/>
                <w:szCs w:val="24"/>
              </w:rPr>
            </w:pPr>
            <w:r w:rsidRPr="006D2945">
              <w:rPr>
                <w:rFonts w:ascii="Arial" w:hAnsi="Arial" w:cs="Arial"/>
                <w:sz w:val="24"/>
                <w:szCs w:val="24"/>
              </w:rPr>
              <w:t xml:space="preserve">3.2.4 – Workstation Use and Security </w:t>
            </w:r>
          </w:p>
        </w:tc>
        <w:tc>
          <w:tcPr>
            <w:tcW w:w="6863" w:type="dxa"/>
          </w:tcPr>
          <w:p w14:paraId="773BF384" w14:textId="77777777" w:rsidR="00A83766" w:rsidRPr="006D2945" w:rsidRDefault="00A83766">
            <w:pPr>
              <w:rPr>
                <w:rFonts w:ascii="Arial" w:hAnsi="Arial" w:cs="Arial"/>
                <w:sz w:val="24"/>
                <w:szCs w:val="24"/>
              </w:rPr>
            </w:pPr>
            <w:r w:rsidRPr="006D2945">
              <w:rPr>
                <w:rFonts w:ascii="Arial" w:hAnsi="Arial" w:cs="Arial"/>
                <w:sz w:val="24"/>
                <w:szCs w:val="24"/>
              </w:rPr>
              <w:t xml:space="preserve">III. State entities are responsible for implementing workstation and mobile device security policies and procedures to ensure health information is protected from unauthorized access. In addition, the policies and procedures should specify the proper functions to be performed, the manner in which they </w:t>
            </w:r>
            <w:r w:rsidRPr="006D2945">
              <w:rPr>
                <w:rFonts w:ascii="Arial" w:hAnsi="Arial" w:cs="Arial"/>
                <w:sz w:val="24"/>
                <w:szCs w:val="24"/>
              </w:rPr>
              <w:lastRenderedPageBreak/>
              <w:t>are performed, and the physical attributes of the surroundings of a specific workstation or class of workstation that can access healt</w:t>
            </w:r>
            <w:bookmarkStart w:id="0" w:name="_GoBack"/>
            <w:bookmarkEnd w:id="0"/>
            <w:r w:rsidRPr="006D2945">
              <w:rPr>
                <w:rFonts w:ascii="Arial" w:hAnsi="Arial" w:cs="Arial"/>
                <w:sz w:val="24"/>
                <w:szCs w:val="24"/>
              </w:rPr>
              <w:t>h information.  (see also III. for specifics)</w:t>
            </w:r>
          </w:p>
        </w:tc>
        <w:tc>
          <w:tcPr>
            <w:tcW w:w="1620" w:type="dxa"/>
          </w:tcPr>
          <w:p w14:paraId="51FA1440" w14:textId="77777777" w:rsidR="00A83766" w:rsidRPr="006D2945" w:rsidRDefault="00A83766">
            <w:pPr>
              <w:rPr>
                <w:rFonts w:ascii="Arial" w:hAnsi="Arial" w:cs="Arial"/>
                <w:sz w:val="24"/>
                <w:szCs w:val="24"/>
              </w:rPr>
            </w:pPr>
          </w:p>
        </w:tc>
      </w:tr>
      <w:tr w:rsidR="00CB196F" w:rsidRPr="006D2945" w14:paraId="51B42CDD" w14:textId="77777777" w:rsidTr="00CB196F">
        <w:tc>
          <w:tcPr>
            <w:tcW w:w="2093" w:type="dxa"/>
            <w:vMerge w:val="restart"/>
          </w:tcPr>
          <w:p w14:paraId="31E9FBB8" w14:textId="77777777" w:rsidR="00CB196F" w:rsidRPr="006D2945" w:rsidRDefault="00CB196F" w:rsidP="0066035D">
            <w:pPr>
              <w:rPr>
                <w:rFonts w:ascii="Arial" w:hAnsi="Arial" w:cs="Arial"/>
                <w:sz w:val="24"/>
                <w:szCs w:val="24"/>
              </w:rPr>
            </w:pPr>
            <w:r w:rsidRPr="006D2945">
              <w:rPr>
                <w:rFonts w:ascii="Arial" w:hAnsi="Arial" w:cs="Arial"/>
                <w:sz w:val="24"/>
                <w:szCs w:val="24"/>
              </w:rPr>
              <w:t xml:space="preserve">3.3.0 – Technical Safeguards </w:t>
            </w:r>
          </w:p>
        </w:tc>
        <w:tc>
          <w:tcPr>
            <w:tcW w:w="2317" w:type="dxa"/>
          </w:tcPr>
          <w:p w14:paraId="786A7F0F" w14:textId="77777777" w:rsidR="00CB196F" w:rsidRPr="006D2945" w:rsidRDefault="00CB196F" w:rsidP="0066035D">
            <w:pPr>
              <w:rPr>
                <w:rFonts w:ascii="Arial" w:hAnsi="Arial" w:cs="Arial"/>
                <w:sz w:val="24"/>
                <w:szCs w:val="24"/>
              </w:rPr>
            </w:pPr>
            <w:r w:rsidRPr="006D2945">
              <w:rPr>
                <w:rFonts w:ascii="Arial" w:hAnsi="Arial" w:cs="Arial"/>
                <w:sz w:val="24"/>
                <w:szCs w:val="24"/>
              </w:rPr>
              <w:t xml:space="preserve">3.3.1 – Audit Controls </w:t>
            </w:r>
          </w:p>
        </w:tc>
        <w:tc>
          <w:tcPr>
            <w:tcW w:w="6863" w:type="dxa"/>
          </w:tcPr>
          <w:p w14:paraId="289962A7" w14:textId="77777777" w:rsidR="00CB196F" w:rsidRPr="006D2945" w:rsidRDefault="00CB196F">
            <w:pPr>
              <w:rPr>
                <w:rFonts w:ascii="Arial" w:hAnsi="Arial" w:cs="Arial"/>
                <w:sz w:val="24"/>
                <w:szCs w:val="24"/>
              </w:rPr>
            </w:pPr>
            <w:r w:rsidRPr="006D2945">
              <w:rPr>
                <w:rFonts w:ascii="Arial" w:hAnsi="Arial" w:cs="Arial"/>
                <w:sz w:val="24"/>
                <w:szCs w:val="24"/>
              </w:rPr>
              <w:t>II. Implement hardware, software, and policies and procedures to record and examine activity accessing health information in electronic information systems.</w:t>
            </w:r>
          </w:p>
        </w:tc>
        <w:tc>
          <w:tcPr>
            <w:tcW w:w="1620" w:type="dxa"/>
          </w:tcPr>
          <w:p w14:paraId="1F6A726B" w14:textId="77777777" w:rsidR="00CB196F" w:rsidRPr="006D2945" w:rsidRDefault="00CB196F">
            <w:pPr>
              <w:rPr>
                <w:rFonts w:ascii="Arial" w:hAnsi="Arial" w:cs="Arial"/>
                <w:sz w:val="24"/>
                <w:szCs w:val="24"/>
              </w:rPr>
            </w:pPr>
          </w:p>
        </w:tc>
      </w:tr>
      <w:tr w:rsidR="00CB196F" w:rsidRPr="006D2945" w14:paraId="31DD6460" w14:textId="77777777" w:rsidTr="00CB196F">
        <w:tc>
          <w:tcPr>
            <w:tcW w:w="2093" w:type="dxa"/>
            <w:vMerge/>
          </w:tcPr>
          <w:p w14:paraId="082A0AC2" w14:textId="77777777" w:rsidR="00CB196F" w:rsidRPr="006D2945" w:rsidRDefault="00CB196F">
            <w:pPr>
              <w:rPr>
                <w:rFonts w:ascii="Arial" w:hAnsi="Arial" w:cs="Arial"/>
                <w:sz w:val="24"/>
                <w:szCs w:val="24"/>
              </w:rPr>
            </w:pPr>
          </w:p>
        </w:tc>
        <w:tc>
          <w:tcPr>
            <w:tcW w:w="2317" w:type="dxa"/>
          </w:tcPr>
          <w:p w14:paraId="4FEB5A3D" w14:textId="77777777" w:rsidR="00CB196F" w:rsidRPr="006D2945" w:rsidRDefault="00CB196F" w:rsidP="0066035D">
            <w:pPr>
              <w:rPr>
                <w:rFonts w:ascii="Arial" w:hAnsi="Arial" w:cs="Arial"/>
                <w:sz w:val="24"/>
                <w:szCs w:val="24"/>
              </w:rPr>
            </w:pPr>
            <w:r w:rsidRPr="006D2945">
              <w:rPr>
                <w:rFonts w:ascii="Arial" w:hAnsi="Arial" w:cs="Arial"/>
                <w:sz w:val="24"/>
                <w:szCs w:val="24"/>
              </w:rPr>
              <w:t xml:space="preserve">3.3.2 – Encryption </w:t>
            </w:r>
          </w:p>
          <w:p w14:paraId="12F1C4FB" w14:textId="77777777" w:rsidR="00CB196F" w:rsidRPr="006D2945" w:rsidRDefault="00CB196F" w:rsidP="0066035D">
            <w:pPr>
              <w:rPr>
                <w:rFonts w:ascii="Arial" w:hAnsi="Arial" w:cs="Arial"/>
                <w:sz w:val="24"/>
                <w:szCs w:val="24"/>
              </w:rPr>
            </w:pPr>
          </w:p>
        </w:tc>
        <w:tc>
          <w:tcPr>
            <w:tcW w:w="6863" w:type="dxa"/>
          </w:tcPr>
          <w:p w14:paraId="601E9D75" w14:textId="77777777" w:rsidR="00CB196F" w:rsidRPr="006D2945" w:rsidRDefault="00CB196F">
            <w:pPr>
              <w:rPr>
                <w:rFonts w:ascii="Arial" w:hAnsi="Arial" w:cs="Arial"/>
                <w:sz w:val="24"/>
                <w:szCs w:val="24"/>
              </w:rPr>
            </w:pPr>
            <w:r w:rsidRPr="006D2945">
              <w:rPr>
                <w:rFonts w:ascii="Arial" w:hAnsi="Arial" w:cs="Arial"/>
                <w:sz w:val="24"/>
                <w:szCs w:val="24"/>
              </w:rPr>
              <w:t xml:space="preserve">II. and III. A. State entities are responsible for implementing policies and procedures regarding the encryption methods their organization utilizes to prevent unauthorized access to health information. </w:t>
            </w:r>
          </w:p>
        </w:tc>
        <w:tc>
          <w:tcPr>
            <w:tcW w:w="1620" w:type="dxa"/>
          </w:tcPr>
          <w:p w14:paraId="118B8E43" w14:textId="77777777" w:rsidR="00CB196F" w:rsidRPr="006D2945" w:rsidRDefault="00CB196F">
            <w:pPr>
              <w:rPr>
                <w:rFonts w:ascii="Arial" w:hAnsi="Arial" w:cs="Arial"/>
                <w:sz w:val="24"/>
                <w:szCs w:val="24"/>
              </w:rPr>
            </w:pPr>
          </w:p>
        </w:tc>
      </w:tr>
      <w:tr w:rsidR="001C1862" w:rsidRPr="006D2945" w14:paraId="2E281E52" w14:textId="77777777" w:rsidTr="00CB196F">
        <w:tc>
          <w:tcPr>
            <w:tcW w:w="2093" w:type="dxa"/>
          </w:tcPr>
          <w:p w14:paraId="03D03431" w14:textId="77777777" w:rsidR="001C1862" w:rsidRPr="006D2945" w:rsidRDefault="001C1862" w:rsidP="0066035D">
            <w:pPr>
              <w:rPr>
                <w:rFonts w:ascii="Arial" w:hAnsi="Arial" w:cs="Arial"/>
                <w:sz w:val="24"/>
                <w:szCs w:val="24"/>
              </w:rPr>
            </w:pPr>
            <w:r w:rsidRPr="006D2945">
              <w:rPr>
                <w:rFonts w:ascii="Arial" w:hAnsi="Arial" w:cs="Arial"/>
                <w:sz w:val="24"/>
                <w:szCs w:val="24"/>
              </w:rPr>
              <w:t xml:space="preserve">3.4.0 – Policy and Procedures </w:t>
            </w:r>
          </w:p>
        </w:tc>
        <w:tc>
          <w:tcPr>
            <w:tcW w:w="2317" w:type="dxa"/>
          </w:tcPr>
          <w:p w14:paraId="656EDECA" w14:textId="77777777" w:rsidR="001C1862" w:rsidRPr="006D2945" w:rsidRDefault="001C1862" w:rsidP="0066035D">
            <w:pPr>
              <w:rPr>
                <w:rFonts w:ascii="Arial" w:hAnsi="Arial" w:cs="Arial"/>
                <w:sz w:val="24"/>
                <w:szCs w:val="24"/>
              </w:rPr>
            </w:pPr>
            <w:r w:rsidRPr="006D2945">
              <w:rPr>
                <w:rFonts w:ascii="Arial" w:hAnsi="Arial" w:cs="Arial"/>
                <w:sz w:val="24"/>
                <w:szCs w:val="24"/>
              </w:rPr>
              <w:t xml:space="preserve">3.4.1 </w:t>
            </w:r>
            <w:r w:rsidR="0029110F">
              <w:rPr>
                <w:rFonts w:ascii="Arial" w:hAnsi="Arial" w:cs="Arial"/>
                <w:sz w:val="24"/>
                <w:szCs w:val="24"/>
              </w:rPr>
              <w:t>–</w:t>
            </w:r>
            <w:r w:rsidRPr="006D2945">
              <w:rPr>
                <w:rFonts w:ascii="Arial" w:hAnsi="Arial" w:cs="Arial"/>
                <w:sz w:val="24"/>
                <w:szCs w:val="24"/>
              </w:rPr>
              <w:t xml:space="preserve"> Documentation</w:t>
            </w:r>
            <w:r w:rsidR="0029110F">
              <w:rPr>
                <w:rFonts w:ascii="Arial" w:hAnsi="Arial" w:cs="Arial"/>
                <w:sz w:val="24"/>
                <w:szCs w:val="24"/>
              </w:rPr>
              <w:t xml:space="preserve"> </w:t>
            </w:r>
            <w:r w:rsidRPr="006D2945">
              <w:rPr>
                <w:rFonts w:ascii="Arial" w:hAnsi="Arial" w:cs="Arial"/>
                <w:sz w:val="24"/>
                <w:szCs w:val="24"/>
              </w:rPr>
              <w:t xml:space="preserve"> </w:t>
            </w:r>
          </w:p>
          <w:p w14:paraId="6965E4EA" w14:textId="77777777" w:rsidR="001C1862" w:rsidRPr="006D2945" w:rsidRDefault="001C1862" w:rsidP="0066035D">
            <w:pPr>
              <w:rPr>
                <w:rFonts w:ascii="Arial" w:hAnsi="Arial" w:cs="Arial"/>
                <w:sz w:val="24"/>
                <w:szCs w:val="24"/>
              </w:rPr>
            </w:pPr>
          </w:p>
        </w:tc>
        <w:tc>
          <w:tcPr>
            <w:tcW w:w="6863" w:type="dxa"/>
          </w:tcPr>
          <w:p w14:paraId="050BD6AE" w14:textId="77777777" w:rsidR="00320629" w:rsidRDefault="001C1862" w:rsidP="00320629">
            <w:pPr>
              <w:rPr>
                <w:rFonts w:ascii="Arial" w:hAnsi="Arial" w:cs="Arial"/>
                <w:sz w:val="24"/>
                <w:szCs w:val="24"/>
              </w:rPr>
            </w:pPr>
            <w:r w:rsidRPr="006D2945">
              <w:rPr>
                <w:rFonts w:ascii="Arial" w:hAnsi="Arial" w:cs="Arial"/>
                <w:sz w:val="24"/>
                <w:szCs w:val="24"/>
              </w:rPr>
              <w:t xml:space="preserve">II. Security policies and procedures must be developed, implemented, utilized and maintained to ensure the confidentiality, integrity, and availability of health information that is created, received, maintained, or transmitted. </w:t>
            </w:r>
          </w:p>
          <w:p w14:paraId="32377361" w14:textId="77777777" w:rsidR="001C1862" w:rsidRPr="006D2945" w:rsidRDefault="001C1862" w:rsidP="00320629">
            <w:pPr>
              <w:rPr>
                <w:rFonts w:ascii="Arial" w:hAnsi="Arial" w:cs="Arial"/>
                <w:sz w:val="24"/>
                <w:szCs w:val="24"/>
              </w:rPr>
            </w:pPr>
            <w:r w:rsidRPr="006D2945">
              <w:rPr>
                <w:rFonts w:ascii="Arial" w:hAnsi="Arial" w:cs="Arial"/>
                <w:sz w:val="24"/>
                <w:szCs w:val="24"/>
              </w:rPr>
              <w:t>(see also III for more specifics)</w:t>
            </w:r>
          </w:p>
        </w:tc>
        <w:tc>
          <w:tcPr>
            <w:tcW w:w="1620" w:type="dxa"/>
          </w:tcPr>
          <w:p w14:paraId="1452237D" w14:textId="77777777" w:rsidR="001C1862" w:rsidRPr="006D2945" w:rsidRDefault="001C1862">
            <w:pPr>
              <w:rPr>
                <w:rFonts w:ascii="Arial" w:hAnsi="Arial" w:cs="Arial"/>
                <w:sz w:val="24"/>
                <w:szCs w:val="24"/>
              </w:rPr>
            </w:pPr>
          </w:p>
        </w:tc>
      </w:tr>
      <w:tr w:rsidR="00A83766" w:rsidRPr="006D2945" w14:paraId="674B569B" w14:textId="77777777" w:rsidTr="00CB196F">
        <w:tc>
          <w:tcPr>
            <w:tcW w:w="2093" w:type="dxa"/>
            <w:vMerge w:val="restart"/>
          </w:tcPr>
          <w:p w14:paraId="541FF433" w14:textId="77777777" w:rsidR="00A83766" w:rsidRPr="006D2945" w:rsidRDefault="00A83766" w:rsidP="0066035D">
            <w:pPr>
              <w:rPr>
                <w:rFonts w:ascii="Arial" w:hAnsi="Arial" w:cs="Arial"/>
                <w:sz w:val="24"/>
                <w:szCs w:val="24"/>
              </w:rPr>
            </w:pPr>
            <w:r w:rsidRPr="006D2945">
              <w:rPr>
                <w:rFonts w:ascii="Arial" w:hAnsi="Arial" w:cs="Arial"/>
                <w:sz w:val="24"/>
                <w:szCs w:val="24"/>
              </w:rPr>
              <w:t xml:space="preserve">4.1.0 – Administrative Requirements </w:t>
            </w:r>
          </w:p>
        </w:tc>
        <w:tc>
          <w:tcPr>
            <w:tcW w:w="2317" w:type="dxa"/>
          </w:tcPr>
          <w:p w14:paraId="68E81C25" w14:textId="77777777" w:rsidR="00320629" w:rsidRPr="006D2945" w:rsidRDefault="00A83766" w:rsidP="0066035D">
            <w:pPr>
              <w:rPr>
                <w:rFonts w:ascii="Arial" w:hAnsi="Arial" w:cs="Arial"/>
                <w:sz w:val="24"/>
                <w:szCs w:val="24"/>
              </w:rPr>
            </w:pPr>
            <w:r w:rsidRPr="006D2945">
              <w:rPr>
                <w:rFonts w:ascii="Arial" w:hAnsi="Arial" w:cs="Arial"/>
                <w:sz w:val="24"/>
                <w:szCs w:val="24"/>
              </w:rPr>
              <w:t xml:space="preserve">4.1.1 – Policies and Procedures </w:t>
            </w:r>
          </w:p>
        </w:tc>
        <w:tc>
          <w:tcPr>
            <w:tcW w:w="6863" w:type="dxa"/>
          </w:tcPr>
          <w:p w14:paraId="2B8CAC8E" w14:textId="77777777" w:rsidR="00A83766" w:rsidRPr="006D2945" w:rsidRDefault="00A83766">
            <w:pPr>
              <w:rPr>
                <w:rFonts w:ascii="Arial" w:hAnsi="Arial" w:cs="Arial"/>
                <w:sz w:val="24"/>
                <w:szCs w:val="24"/>
              </w:rPr>
            </w:pPr>
            <w:r w:rsidRPr="006D2945">
              <w:rPr>
                <w:rFonts w:ascii="Arial" w:hAnsi="Arial" w:cs="Arial"/>
                <w:sz w:val="24"/>
                <w:szCs w:val="24"/>
              </w:rPr>
              <w:t>This item provides overall policy for development and maintenance of policy and procedure documentation.</w:t>
            </w:r>
          </w:p>
        </w:tc>
        <w:tc>
          <w:tcPr>
            <w:tcW w:w="1620" w:type="dxa"/>
          </w:tcPr>
          <w:p w14:paraId="4EC499C1" w14:textId="77777777" w:rsidR="00A83766" w:rsidRPr="006D2945" w:rsidRDefault="00A83766">
            <w:pPr>
              <w:rPr>
                <w:rFonts w:ascii="Arial" w:hAnsi="Arial" w:cs="Arial"/>
                <w:sz w:val="24"/>
                <w:szCs w:val="24"/>
              </w:rPr>
            </w:pPr>
          </w:p>
        </w:tc>
      </w:tr>
      <w:tr w:rsidR="00A83766" w:rsidRPr="006D2945" w14:paraId="33973053" w14:textId="77777777" w:rsidTr="00CB196F">
        <w:tc>
          <w:tcPr>
            <w:tcW w:w="2093" w:type="dxa"/>
            <w:vMerge/>
          </w:tcPr>
          <w:p w14:paraId="50465BD0" w14:textId="77777777" w:rsidR="00A83766" w:rsidRPr="006D2945" w:rsidRDefault="00A83766">
            <w:pPr>
              <w:rPr>
                <w:rFonts w:ascii="Arial" w:hAnsi="Arial" w:cs="Arial"/>
                <w:sz w:val="24"/>
                <w:szCs w:val="24"/>
              </w:rPr>
            </w:pPr>
          </w:p>
        </w:tc>
        <w:tc>
          <w:tcPr>
            <w:tcW w:w="2317" w:type="dxa"/>
          </w:tcPr>
          <w:p w14:paraId="363D1CCB" w14:textId="77777777" w:rsidR="00A83766" w:rsidRPr="006D2945" w:rsidRDefault="00A83766" w:rsidP="007F765B">
            <w:pPr>
              <w:rPr>
                <w:rFonts w:ascii="Arial" w:hAnsi="Arial" w:cs="Arial"/>
                <w:sz w:val="24"/>
                <w:szCs w:val="24"/>
              </w:rPr>
            </w:pPr>
            <w:r w:rsidRPr="006D2945">
              <w:rPr>
                <w:rFonts w:ascii="Arial" w:hAnsi="Arial" w:cs="Arial"/>
                <w:sz w:val="24"/>
                <w:szCs w:val="24"/>
              </w:rPr>
              <w:t xml:space="preserve">4.1.3 – Sanctions for Violation </w:t>
            </w:r>
          </w:p>
        </w:tc>
        <w:tc>
          <w:tcPr>
            <w:tcW w:w="6863" w:type="dxa"/>
          </w:tcPr>
          <w:p w14:paraId="6186769B" w14:textId="77777777" w:rsidR="00A83766" w:rsidRPr="006D2945" w:rsidRDefault="00A83766" w:rsidP="007F765B">
            <w:pPr>
              <w:rPr>
                <w:rFonts w:ascii="Arial" w:hAnsi="Arial" w:cs="Arial"/>
                <w:sz w:val="24"/>
                <w:szCs w:val="24"/>
              </w:rPr>
            </w:pPr>
            <w:r w:rsidRPr="006D2945">
              <w:rPr>
                <w:rFonts w:ascii="Arial" w:hAnsi="Arial" w:cs="Arial"/>
                <w:sz w:val="24"/>
                <w:szCs w:val="24"/>
              </w:rPr>
              <w:t>II. Policies and procedures must specify appropriate sanctions outlining what the consequences will be against any workforce member who improperly views, uses, or discloses health information.</w:t>
            </w:r>
          </w:p>
        </w:tc>
        <w:tc>
          <w:tcPr>
            <w:tcW w:w="1620" w:type="dxa"/>
          </w:tcPr>
          <w:p w14:paraId="7E80F07F" w14:textId="77777777" w:rsidR="00A83766" w:rsidRPr="006D2945" w:rsidRDefault="00A83766">
            <w:pPr>
              <w:rPr>
                <w:rFonts w:ascii="Arial" w:hAnsi="Arial" w:cs="Arial"/>
                <w:sz w:val="24"/>
                <w:szCs w:val="24"/>
              </w:rPr>
            </w:pPr>
          </w:p>
        </w:tc>
      </w:tr>
      <w:tr w:rsidR="00CB196F" w:rsidRPr="006D2945" w14:paraId="309CE5E1" w14:textId="77777777" w:rsidTr="00CB196F">
        <w:tc>
          <w:tcPr>
            <w:tcW w:w="2093" w:type="dxa"/>
          </w:tcPr>
          <w:p w14:paraId="3C62BDB3" w14:textId="2D14B21F" w:rsidR="00CB196F" w:rsidRDefault="00CB196F" w:rsidP="00CB196F">
            <w:pPr>
              <w:rPr>
                <w:rFonts w:ascii="Arial" w:hAnsi="Arial" w:cs="Arial"/>
                <w:sz w:val="24"/>
                <w:szCs w:val="24"/>
              </w:rPr>
            </w:pPr>
            <w:r>
              <w:rPr>
                <w:rFonts w:ascii="Arial" w:hAnsi="Arial" w:cs="Arial"/>
                <w:sz w:val="24"/>
                <w:szCs w:val="24"/>
              </w:rPr>
              <w:t>4.6.0 – Requirements for Specific Organizations</w:t>
            </w:r>
          </w:p>
        </w:tc>
        <w:tc>
          <w:tcPr>
            <w:tcW w:w="2317" w:type="dxa"/>
          </w:tcPr>
          <w:p w14:paraId="33144ED3" w14:textId="342F3B5C" w:rsidR="00CB196F" w:rsidRDefault="00CB196F" w:rsidP="005D1452">
            <w:pPr>
              <w:rPr>
                <w:rFonts w:ascii="Arial" w:hAnsi="Arial" w:cs="Arial"/>
                <w:sz w:val="24"/>
                <w:szCs w:val="24"/>
              </w:rPr>
            </w:pPr>
            <w:r>
              <w:rPr>
                <w:rFonts w:ascii="Arial" w:hAnsi="Arial" w:cs="Arial"/>
                <w:sz w:val="24"/>
                <w:szCs w:val="24"/>
              </w:rPr>
              <w:t>4.6.5 – Hybrid Entities</w:t>
            </w:r>
          </w:p>
        </w:tc>
        <w:tc>
          <w:tcPr>
            <w:tcW w:w="6863" w:type="dxa"/>
          </w:tcPr>
          <w:p w14:paraId="2D20C37A" w14:textId="52A6D599" w:rsidR="00CB196F" w:rsidRPr="006D2945" w:rsidRDefault="00CB196F" w:rsidP="00964CD9">
            <w:pPr>
              <w:rPr>
                <w:rFonts w:ascii="Arial" w:hAnsi="Arial" w:cs="Arial"/>
                <w:sz w:val="24"/>
                <w:szCs w:val="24"/>
              </w:rPr>
            </w:pPr>
            <w:r>
              <w:rPr>
                <w:rFonts w:ascii="Arial" w:hAnsi="Arial" w:cs="Arial"/>
                <w:sz w:val="24"/>
                <w:szCs w:val="24"/>
              </w:rPr>
              <w:t>II. Policies and procedures must be implemented and maintained which outline the requirement for Hybrid Entries to create and maintain adequate “firewalls” or separation between covered and non-covered healthcare components within their organization.</w:t>
            </w:r>
          </w:p>
        </w:tc>
        <w:tc>
          <w:tcPr>
            <w:tcW w:w="1620" w:type="dxa"/>
          </w:tcPr>
          <w:p w14:paraId="5CF7FC74" w14:textId="77777777" w:rsidR="00CB196F" w:rsidRPr="006D2945" w:rsidRDefault="00CB196F" w:rsidP="00964CD9">
            <w:pPr>
              <w:rPr>
                <w:rFonts w:ascii="Arial" w:hAnsi="Arial" w:cs="Arial"/>
                <w:sz w:val="24"/>
                <w:szCs w:val="24"/>
              </w:rPr>
            </w:pPr>
          </w:p>
        </w:tc>
      </w:tr>
      <w:tr w:rsidR="005D1452" w:rsidRPr="006D2945" w14:paraId="3AE4E837" w14:textId="77777777" w:rsidTr="00CB196F">
        <w:tc>
          <w:tcPr>
            <w:tcW w:w="2093" w:type="dxa"/>
          </w:tcPr>
          <w:p w14:paraId="4A25A11D" w14:textId="77777777" w:rsidR="005D1452" w:rsidRPr="006D2945" w:rsidRDefault="005D1452" w:rsidP="00964CD9">
            <w:pPr>
              <w:rPr>
                <w:rFonts w:ascii="Arial" w:hAnsi="Arial" w:cs="Arial"/>
                <w:sz w:val="24"/>
                <w:szCs w:val="24"/>
              </w:rPr>
            </w:pPr>
            <w:r>
              <w:rPr>
                <w:rFonts w:ascii="Arial" w:hAnsi="Arial" w:cs="Arial"/>
                <w:sz w:val="24"/>
                <w:szCs w:val="24"/>
              </w:rPr>
              <w:t>5.1</w:t>
            </w:r>
            <w:r w:rsidRPr="006D2945">
              <w:rPr>
                <w:rFonts w:ascii="Arial" w:hAnsi="Arial" w:cs="Arial"/>
                <w:sz w:val="24"/>
                <w:szCs w:val="24"/>
              </w:rPr>
              <w:t>.0 – A</w:t>
            </w:r>
            <w:r>
              <w:rPr>
                <w:rFonts w:ascii="Arial" w:hAnsi="Arial" w:cs="Arial"/>
                <w:sz w:val="24"/>
                <w:szCs w:val="24"/>
              </w:rPr>
              <w:t>ccounting of Disclosures</w:t>
            </w:r>
          </w:p>
          <w:p w14:paraId="20A2C1E2" w14:textId="77777777" w:rsidR="005D1452" w:rsidRPr="006D2945" w:rsidRDefault="005D1452" w:rsidP="00964CD9">
            <w:pPr>
              <w:rPr>
                <w:rFonts w:ascii="Arial" w:hAnsi="Arial" w:cs="Arial"/>
                <w:sz w:val="24"/>
                <w:szCs w:val="24"/>
              </w:rPr>
            </w:pPr>
          </w:p>
        </w:tc>
        <w:tc>
          <w:tcPr>
            <w:tcW w:w="2317" w:type="dxa"/>
          </w:tcPr>
          <w:p w14:paraId="1EF4C79B" w14:textId="77777777" w:rsidR="005D1452" w:rsidRPr="006D2945" w:rsidRDefault="005D1452" w:rsidP="005D1452">
            <w:pPr>
              <w:rPr>
                <w:rFonts w:ascii="Arial" w:hAnsi="Arial" w:cs="Arial"/>
                <w:sz w:val="24"/>
                <w:szCs w:val="24"/>
              </w:rPr>
            </w:pPr>
            <w:r>
              <w:rPr>
                <w:rFonts w:ascii="Arial" w:hAnsi="Arial" w:cs="Arial"/>
                <w:sz w:val="24"/>
                <w:szCs w:val="24"/>
              </w:rPr>
              <w:t>5.1.1 – Accounting of Disclosures</w:t>
            </w:r>
          </w:p>
        </w:tc>
        <w:tc>
          <w:tcPr>
            <w:tcW w:w="6863" w:type="dxa"/>
          </w:tcPr>
          <w:p w14:paraId="2F9A4A3E" w14:textId="77777777" w:rsidR="005D1452" w:rsidRPr="006D2945" w:rsidRDefault="005D1452" w:rsidP="00964CD9">
            <w:pPr>
              <w:rPr>
                <w:rFonts w:ascii="Arial" w:hAnsi="Arial" w:cs="Arial"/>
                <w:sz w:val="24"/>
                <w:szCs w:val="24"/>
              </w:rPr>
            </w:pPr>
            <w:r w:rsidRPr="006D2945">
              <w:rPr>
                <w:rFonts w:ascii="Arial" w:hAnsi="Arial" w:cs="Arial"/>
                <w:sz w:val="24"/>
                <w:szCs w:val="24"/>
              </w:rPr>
              <w:t xml:space="preserve">III. A. State entities are responsible to create and maintain policies and procedures stating how to process and document </w:t>
            </w:r>
            <w:r w:rsidRPr="009B5039">
              <w:rPr>
                <w:rFonts w:ascii="Arial" w:hAnsi="Arial" w:cs="Arial"/>
                <w:sz w:val="24"/>
                <w:szCs w:val="24"/>
              </w:rPr>
              <w:t>disclosures of health information as well as patient requests for an accounting of disclosure</w:t>
            </w:r>
            <w:r>
              <w:rPr>
                <w:rFonts w:ascii="Arial" w:hAnsi="Arial" w:cs="Arial"/>
                <w:sz w:val="24"/>
                <w:szCs w:val="24"/>
              </w:rPr>
              <w:t>.</w:t>
            </w:r>
          </w:p>
        </w:tc>
        <w:tc>
          <w:tcPr>
            <w:tcW w:w="1620" w:type="dxa"/>
          </w:tcPr>
          <w:p w14:paraId="4D1F0A8F" w14:textId="77777777" w:rsidR="005D1452" w:rsidRPr="006D2945" w:rsidRDefault="005D1452" w:rsidP="00964CD9">
            <w:pPr>
              <w:rPr>
                <w:rFonts w:ascii="Arial" w:hAnsi="Arial" w:cs="Arial"/>
                <w:sz w:val="24"/>
                <w:szCs w:val="24"/>
              </w:rPr>
            </w:pPr>
          </w:p>
        </w:tc>
      </w:tr>
      <w:tr w:rsidR="001C1862" w:rsidRPr="006D2945" w14:paraId="3F6039BB" w14:textId="77777777" w:rsidTr="00CB196F">
        <w:tc>
          <w:tcPr>
            <w:tcW w:w="2093" w:type="dxa"/>
          </w:tcPr>
          <w:p w14:paraId="7AAD5EC4" w14:textId="77777777" w:rsidR="001C1862" w:rsidRPr="006D2945" w:rsidRDefault="001C1862" w:rsidP="0079585E">
            <w:pPr>
              <w:rPr>
                <w:rFonts w:ascii="Arial" w:hAnsi="Arial" w:cs="Arial"/>
                <w:sz w:val="24"/>
                <w:szCs w:val="24"/>
              </w:rPr>
            </w:pPr>
            <w:r w:rsidRPr="006D2945">
              <w:rPr>
                <w:rFonts w:ascii="Arial" w:hAnsi="Arial" w:cs="Arial"/>
                <w:sz w:val="24"/>
                <w:szCs w:val="24"/>
              </w:rPr>
              <w:lastRenderedPageBreak/>
              <w:t xml:space="preserve">5.2.0 – Amendments </w:t>
            </w:r>
          </w:p>
          <w:p w14:paraId="68198EC5" w14:textId="77777777" w:rsidR="001C1862" w:rsidRPr="006D2945" w:rsidRDefault="001C1862" w:rsidP="007F765B">
            <w:pPr>
              <w:rPr>
                <w:rFonts w:ascii="Arial" w:hAnsi="Arial" w:cs="Arial"/>
                <w:sz w:val="24"/>
                <w:szCs w:val="24"/>
              </w:rPr>
            </w:pPr>
          </w:p>
        </w:tc>
        <w:tc>
          <w:tcPr>
            <w:tcW w:w="2317" w:type="dxa"/>
          </w:tcPr>
          <w:p w14:paraId="3787084A" w14:textId="77777777" w:rsidR="001C1862" w:rsidRPr="006D2945" w:rsidRDefault="001C1862" w:rsidP="007F765B">
            <w:pPr>
              <w:rPr>
                <w:rFonts w:ascii="Arial" w:hAnsi="Arial" w:cs="Arial"/>
                <w:sz w:val="24"/>
                <w:szCs w:val="24"/>
              </w:rPr>
            </w:pPr>
            <w:r w:rsidRPr="006D2945">
              <w:rPr>
                <w:rFonts w:ascii="Arial" w:hAnsi="Arial" w:cs="Arial"/>
                <w:sz w:val="24"/>
                <w:szCs w:val="24"/>
              </w:rPr>
              <w:t xml:space="preserve">5.2.1 – </w:t>
            </w:r>
            <w:r w:rsidR="00FA05DA">
              <w:rPr>
                <w:rFonts w:ascii="Arial" w:hAnsi="Arial" w:cs="Arial"/>
                <w:sz w:val="24"/>
                <w:szCs w:val="24"/>
              </w:rPr>
              <w:t>Patient’s (Individual’s) Right to Amend Medical Records</w:t>
            </w:r>
          </w:p>
        </w:tc>
        <w:tc>
          <w:tcPr>
            <w:tcW w:w="6863" w:type="dxa"/>
          </w:tcPr>
          <w:p w14:paraId="5255C7DD" w14:textId="77777777" w:rsidR="001C1862" w:rsidRPr="006D2945" w:rsidRDefault="001C1862" w:rsidP="0079585E">
            <w:pPr>
              <w:rPr>
                <w:rFonts w:ascii="Arial" w:hAnsi="Arial" w:cs="Arial"/>
                <w:sz w:val="24"/>
                <w:szCs w:val="24"/>
              </w:rPr>
            </w:pPr>
            <w:r w:rsidRPr="006D2945">
              <w:rPr>
                <w:rFonts w:ascii="Arial" w:hAnsi="Arial" w:cs="Arial"/>
                <w:sz w:val="24"/>
                <w:szCs w:val="24"/>
              </w:rPr>
              <w:t xml:space="preserve">III. A. State entities are responsible to create and maintain policies and procedures stating how to process and document patient requests for amendment to their medical records. </w:t>
            </w:r>
          </w:p>
        </w:tc>
        <w:tc>
          <w:tcPr>
            <w:tcW w:w="1620" w:type="dxa"/>
          </w:tcPr>
          <w:p w14:paraId="3FE13FFA" w14:textId="77777777" w:rsidR="001C1862" w:rsidRPr="006D2945" w:rsidRDefault="001C1862">
            <w:pPr>
              <w:rPr>
                <w:rFonts w:ascii="Arial" w:hAnsi="Arial" w:cs="Arial"/>
                <w:sz w:val="24"/>
                <w:szCs w:val="24"/>
              </w:rPr>
            </w:pPr>
          </w:p>
        </w:tc>
      </w:tr>
      <w:tr w:rsidR="001C1862" w:rsidRPr="006D2945" w14:paraId="7A8F3042" w14:textId="77777777" w:rsidTr="00CB196F">
        <w:trPr>
          <w:cantSplit/>
        </w:trPr>
        <w:tc>
          <w:tcPr>
            <w:tcW w:w="2093" w:type="dxa"/>
          </w:tcPr>
          <w:p w14:paraId="69938197" w14:textId="77777777" w:rsidR="001C1862" w:rsidRPr="006D2945" w:rsidRDefault="001C1862" w:rsidP="0079585E">
            <w:pPr>
              <w:rPr>
                <w:rFonts w:ascii="Arial" w:hAnsi="Arial" w:cs="Arial"/>
                <w:sz w:val="24"/>
                <w:szCs w:val="24"/>
              </w:rPr>
            </w:pPr>
            <w:r w:rsidRPr="006D2945">
              <w:rPr>
                <w:rFonts w:ascii="Arial" w:hAnsi="Arial" w:cs="Arial"/>
                <w:sz w:val="24"/>
                <w:szCs w:val="24"/>
              </w:rPr>
              <w:t xml:space="preserve">5.4.0 – Patient Rights - Access </w:t>
            </w:r>
          </w:p>
        </w:tc>
        <w:tc>
          <w:tcPr>
            <w:tcW w:w="2317" w:type="dxa"/>
          </w:tcPr>
          <w:p w14:paraId="5ADF62B5" w14:textId="77777777" w:rsidR="001C1862" w:rsidRPr="006D2945" w:rsidRDefault="001C1862" w:rsidP="00FA05DA">
            <w:pPr>
              <w:rPr>
                <w:rFonts w:ascii="Arial" w:hAnsi="Arial" w:cs="Arial"/>
                <w:sz w:val="24"/>
                <w:szCs w:val="24"/>
              </w:rPr>
            </w:pPr>
            <w:r w:rsidRPr="006D2945">
              <w:rPr>
                <w:rFonts w:ascii="Arial" w:hAnsi="Arial" w:cs="Arial"/>
                <w:sz w:val="24"/>
                <w:szCs w:val="24"/>
              </w:rPr>
              <w:t xml:space="preserve">5.4.1 – </w:t>
            </w:r>
            <w:r w:rsidR="00FA05DA">
              <w:rPr>
                <w:rFonts w:ascii="Arial" w:hAnsi="Arial" w:cs="Arial"/>
                <w:sz w:val="24"/>
                <w:szCs w:val="24"/>
              </w:rPr>
              <w:t xml:space="preserve">Patient’s (Individual’s) </w:t>
            </w:r>
            <w:r w:rsidRPr="006D2945">
              <w:rPr>
                <w:rFonts w:ascii="Arial" w:hAnsi="Arial" w:cs="Arial"/>
                <w:sz w:val="24"/>
                <w:szCs w:val="24"/>
              </w:rPr>
              <w:t>Right</w:t>
            </w:r>
            <w:r w:rsidR="00FA05DA">
              <w:rPr>
                <w:rFonts w:ascii="Arial" w:hAnsi="Arial" w:cs="Arial"/>
                <w:sz w:val="24"/>
                <w:szCs w:val="24"/>
              </w:rPr>
              <w:t xml:space="preserve"> to</w:t>
            </w:r>
            <w:r w:rsidRPr="006D2945">
              <w:rPr>
                <w:rFonts w:ascii="Arial" w:hAnsi="Arial" w:cs="Arial"/>
                <w:sz w:val="24"/>
                <w:szCs w:val="24"/>
              </w:rPr>
              <w:t xml:space="preserve"> Access</w:t>
            </w:r>
            <w:r w:rsidR="00FA05DA">
              <w:rPr>
                <w:rFonts w:ascii="Arial" w:hAnsi="Arial" w:cs="Arial"/>
                <w:sz w:val="24"/>
                <w:szCs w:val="24"/>
              </w:rPr>
              <w:t xml:space="preserve"> Health Information</w:t>
            </w:r>
            <w:r w:rsidRPr="006D2945">
              <w:rPr>
                <w:rFonts w:ascii="Arial" w:hAnsi="Arial" w:cs="Arial"/>
                <w:sz w:val="24"/>
                <w:szCs w:val="24"/>
              </w:rPr>
              <w:t xml:space="preserve"> </w:t>
            </w:r>
          </w:p>
        </w:tc>
        <w:tc>
          <w:tcPr>
            <w:tcW w:w="6863" w:type="dxa"/>
          </w:tcPr>
          <w:p w14:paraId="46DAA653" w14:textId="77777777" w:rsidR="00320629" w:rsidRDefault="001C1862" w:rsidP="00320629">
            <w:pPr>
              <w:rPr>
                <w:rFonts w:ascii="Arial" w:hAnsi="Arial" w:cs="Arial"/>
                <w:sz w:val="24"/>
                <w:szCs w:val="24"/>
              </w:rPr>
            </w:pPr>
            <w:r w:rsidRPr="006D2945">
              <w:rPr>
                <w:rFonts w:ascii="Arial" w:hAnsi="Arial" w:cs="Arial"/>
                <w:sz w:val="24"/>
                <w:szCs w:val="24"/>
              </w:rPr>
              <w:t xml:space="preserve">III. D. 1 and 4 State entities are responsible to implement policies and procedures… </w:t>
            </w:r>
          </w:p>
          <w:p w14:paraId="4D2B9F8F" w14:textId="77777777" w:rsidR="001C1862" w:rsidRPr="006D2945" w:rsidRDefault="001C1862" w:rsidP="00320629">
            <w:pPr>
              <w:rPr>
                <w:rFonts w:ascii="Arial" w:hAnsi="Arial" w:cs="Arial"/>
                <w:sz w:val="24"/>
                <w:szCs w:val="24"/>
              </w:rPr>
            </w:pPr>
            <w:r w:rsidRPr="006D2945">
              <w:rPr>
                <w:rFonts w:ascii="Arial" w:hAnsi="Arial" w:cs="Arial"/>
                <w:sz w:val="24"/>
                <w:szCs w:val="24"/>
              </w:rPr>
              <w:t xml:space="preserve">(see item for more specifics) </w:t>
            </w:r>
          </w:p>
        </w:tc>
        <w:tc>
          <w:tcPr>
            <w:tcW w:w="1620" w:type="dxa"/>
          </w:tcPr>
          <w:p w14:paraId="1D950FE3" w14:textId="77777777" w:rsidR="001C1862" w:rsidRPr="006D2945" w:rsidRDefault="001C1862">
            <w:pPr>
              <w:rPr>
                <w:rFonts w:ascii="Arial" w:hAnsi="Arial" w:cs="Arial"/>
                <w:sz w:val="24"/>
                <w:szCs w:val="24"/>
              </w:rPr>
            </w:pPr>
          </w:p>
        </w:tc>
      </w:tr>
    </w:tbl>
    <w:p w14:paraId="7B492C43" w14:textId="77777777" w:rsidR="00276A17" w:rsidRPr="006D2945" w:rsidRDefault="00276A17">
      <w:pPr>
        <w:rPr>
          <w:rFonts w:ascii="Arial" w:hAnsi="Arial" w:cs="Arial"/>
          <w:sz w:val="24"/>
          <w:szCs w:val="24"/>
        </w:rPr>
      </w:pPr>
    </w:p>
    <w:sectPr w:rsidR="00276A17" w:rsidRPr="006D2945" w:rsidSect="009047D3">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E3E4" w14:textId="77777777" w:rsidR="00673FCB" w:rsidRDefault="00673FCB" w:rsidP="00673FCB">
      <w:pPr>
        <w:spacing w:after="0" w:line="240" w:lineRule="auto"/>
      </w:pPr>
      <w:r>
        <w:separator/>
      </w:r>
    </w:p>
  </w:endnote>
  <w:endnote w:type="continuationSeparator" w:id="0">
    <w:p w14:paraId="7A8D8B86" w14:textId="77777777" w:rsidR="00673FCB" w:rsidRDefault="00673FCB" w:rsidP="0067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C36D" w14:textId="076B296C" w:rsidR="00C4289F" w:rsidRDefault="00FA05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A83766">
      <w:rPr>
        <w:rFonts w:asciiTheme="majorHAnsi" w:eastAsiaTheme="majorEastAsia" w:hAnsiTheme="majorHAnsi" w:cstheme="majorBidi"/>
      </w:rPr>
      <w:t>06/</w:t>
    </w:r>
    <w:r w:rsidR="009B5039">
      <w:rPr>
        <w:rFonts w:asciiTheme="majorHAnsi" w:eastAsiaTheme="majorEastAsia" w:hAnsiTheme="majorHAnsi" w:cstheme="majorBidi"/>
      </w:rPr>
      <w:t>2018</w:t>
    </w:r>
    <w:r w:rsidR="00C4289F">
      <w:rPr>
        <w:rFonts w:asciiTheme="majorHAnsi" w:eastAsiaTheme="majorEastAsia" w:hAnsiTheme="majorHAnsi" w:cstheme="majorBidi"/>
      </w:rPr>
      <w:ptab w:relativeTo="margin" w:alignment="right" w:leader="none"/>
    </w:r>
    <w:r w:rsidR="00C4289F">
      <w:rPr>
        <w:rFonts w:asciiTheme="majorHAnsi" w:eastAsiaTheme="majorEastAsia" w:hAnsiTheme="majorHAnsi" w:cstheme="majorBidi"/>
      </w:rPr>
      <w:t xml:space="preserve">Page </w:t>
    </w:r>
    <w:r w:rsidR="00C4289F">
      <w:rPr>
        <w:rFonts w:eastAsiaTheme="minorEastAsia"/>
      </w:rPr>
      <w:fldChar w:fldCharType="begin"/>
    </w:r>
    <w:r w:rsidR="00C4289F">
      <w:instrText xml:space="preserve"> PAGE   \* MERGEFORMAT </w:instrText>
    </w:r>
    <w:r w:rsidR="00C4289F">
      <w:rPr>
        <w:rFonts w:eastAsiaTheme="minorEastAsia"/>
      </w:rPr>
      <w:fldChar w:fldCharType="separate"/>
    </w:r>
    <w:r w:rsidR="00CB196F" w:rsidRPr="00CB196F">
      <w:rPr>
        <w:rFonts w:asciiTheme="majorHAnsi" w:eastAsiaTheme="majorEastAsia" w:hAnsiTheme="majorHAnsi" w:cstheme="majorBidi"/>
        <w:noProof/>
      </w:rPr>
      <w:t>5</w:t>
    </w:r>
    <w:r w:rsidR="00C4289F">
      <w:rPr>
        <w:rFonts w:asciiTheme="majorHAnsi" w:eastAsiaTheme="majorEastAsia" w:hAnsiTheme="majorHAnsi" w:cstheme="majorBidi"/>
        <w:noProof/>
      </w:rPr>
      <w:fldChar w:fldCharType="end"/>
    </w:r>
  </w:p>
  <w:p w14:paraId="2FB40CCF" w14:textId="77777777" w:rsidR="00C4289F" w:rsidRDefault="00C4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3B88E" w14:textId="77777777" w:rsidR="00673FCB" w:rsidRDefault="00673FCB" w:rsidP="00673FCB">
      <w:pPr>
        <w:spacing w:after="0" w:line="240" w:lineRule="auto"/>
      </w:pPr>
      <w:r>
        <w:separator/>
      </w:r>
    </w:p>
  </w:footnote>
  <w:footnote w:type="continuationSeparator" w:id="0">
    <w:p w14:paraId="0FF49A26" w14:textId="77777777" w:rsidR="00673FCB" w:rsidRDefault="00673FCB" w:rsidP="00673FCB">
      <w:pPr>
        <w:spacing w:after="0" w:line="240" w:lineRule="auto"/>
      </w:pPr>
      <w:r>
        <w:continuationSeparator/>
      </w:r>
    </w:p>
  </w:footnote>
  <w:footnote w:id="1">
    <w:p w14:paraId="4FA2DDC6" w14:textId="77777777" w:rsidR="001C1862" w:rsidRDefault="001C1862">
      <w:pPr>
        <w:pStyle w:val="FootnoteText"/>
      </w:pPr>
      <w:r>
        <w:rPr>
          <w:rStyle w:val="FootnoteReference"/>
        </w:rPr>
        <w:footnoteRef/>
      </w:r>
      <w:r>
        <w:t xml:space="preserve"> </w:t>
      </w:r>
      <w:r w:rsidR="006D2945">
        <w:t xml:space="preserve">Note – this column provides the SHIPM policy reference (either </w:t>
      </w:r>
      <w:r>
        <w:t>II. Policy or III. Implementation Specifics</w:t>
      </w:r>
      <w:r w:rsidR="006D2945">
        <w:t>) along with the policy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EF7C16885F7B4D66A5D9813AA6A6C557"/>
      </w:placeholder>
      <w:dataBinding w:prefixMappings="xmlns:ns0='http://schemas.openxmlformats.org/package/2006/metadata/core-properties' xmlns:ns1='http://purl.org/dc/elements/1.1/'" w:xpath="/ns0:coreProperties[1]/ns1:title[1]" w:storeItemID="{6C3C8BC8-F283-45AE-878A-BAB7291924A1}"/>
      <w:text/>
    </w:sdtPr>
    <w:sdtEndPr/>
    <w:sdtContent>
      <w:p w14:paraId="34DC0F2C" w14:textId="77777777" w:rsidR="00C4289F" w:rsidRDefault="0029110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HIPAA Required Policies and Procedures</w:t>
        </w:r>
      </w:p>
    </w:sdtContent>
  </w:sdt>
  <w:p w14:paraId="793EE6C5" w14:textId="77777777" w:rsidR="00C4289F" w:rsidRDefault="00C20644">
    <w:pPr>
      <w:pStyle w:val="Header"/>
    </w:pPr>
    <w:r w:rsidRPr="00BD0FA2">
      <w:rPr>
        <w:rFonts w:ascii="Times New Roman" w:hAnsi="Times New Roman" w:cs="Times New Roman"/>
        <w:noProof/>
        <w:szCs w:val="24"/>
      </w:rPr>
      <w:drawing>
        <wp:anchor distT="0" distB="0" distL="114300" distR="114300" simplePos="0" relativeHeight="251659264" behindDoc="0" locked="0" layoutInCell="1" allowOverlap="1" wp14:anchorId="65E5AF0E" wp14:editId="37799DAE">
          <wp:simplePos x="0" y="0"/>
          <wp:positionH relativeFrom="column">
            <wp:posOffset>7589520</wp:posOffset>
          </wp:positionH>
          <wp:positionV relativeFrom="paragraph">
            <wp:posOffset>-635635</wp:posOffset>
          </wp:positionV>
          <wp:extent cx="1160780" cy="533400"/>
          <wp:effectExtent l="0" t="0" r="1270" b="0"/>
          <wp:wrapNone/>
          <wp:docPr id="3" name="Picture 3"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6B"/>
    <w:rsid w:val="00061E0A"/>
    <w:rsid w:val="00071F2F"/>
    <w:rsid w:val="00084171"/>
    <w:rsid w:val="001778A2"/>
    <w:rsid w:val="001C1862"/>
    <w:rsid w:val="00233A2C"/>
    <w:rsid w:val="00276A17"/>
    <w:rsid w:val="0029110F"/>
    <w:rsid w:val="002A4887"/>
    <w:rsid w:val="003049A1"/>
    <w:rsid w:val="00314883"/>
    <w:rsid w:val="00320629"/>
    <w:rsid w:val="003371C2"/>
    <w:rsid w:val="00354316"/>
    <w:rsid w:val="003D3860"/>
    <w:rsid w:val="003E69DF"/>
    <w:rsid w:val="003E72A6"/>
    <w:rsid w:val="00400778"/>
    <w:rsid w:val="0041400D"/>
    <w:rsid w:val="00414ADD"/>
    <w:rsid w:val="004C28BC"/>
    <w:rsid w:val="004E4FF0"/>
    <w:rsid w:val="004F66F0"/>
    <w:rsid w:val="00507F67"/>
    <w:rsid w:val="005574E3"/>
    <w:rsid w:val="00577C6C"/>
    <w:rsid w:val="00584431"/>
    <w:rsid w:val="005B6D97"/>
    <w:rsid w:val="005D11A5"/>
    <w:rsid w:val="005D1452"/>
    <w:rsid w:val="0066035D"/>
    <w:rsid w:val="00673FCB"/>
    <w:rsid w:val="006911F5"/>
    <w:rsid w:val="006B6716"/>
    <w:rsid w:val="006C366B"/>
    <w:rsid w:val="006C71E8"/>
    <w:rsid w:val="006D2945"/>
    <w:rsid w:val="007038E2"/>
    <w:rsid w:val="00730E4F"/>
    <w:rsid w:val="00746D8D"/>
    <w:rsid w:val="0079585E"/>
    <w:rsid w:val="007C0BCB"/>
    <w:rsid w:val="007F61BA"/>
    <w:rsid w:val="007F765B"/>
    <w:rsid w:val="00835A2C"/>
    <w:rsid w:val="008E1568"/>
    <w:rsid w:val="009047D3"/>
    <w:rsid w:val="00942E98"/>
    <w:rsid w:val="00985345"/>
    <w:rsid w:val="009A2E18"/>
    <w:rsid w:val="009B5039"/>
    <w:rsid w:val="009E0E52"/>
    <w:rsid w:val="00A73942"/>
    <w:rsid w:val="00A83766"/>
    <w:rsid w:val="00A9516D"/>
    <w:rsid w:val="00AC132A"/>
    <w:rsid w:val="00AC5F3D"/>
    <w:rsid w:val="00C20644"/>
    <w:rsid w:val="00C41863"/>
    <w:rsid w:val="00C4289F"/>
    <w:rsid w:val="00C960E2"/>
    <w:rsid w:val="00CB196F"/>
    <w:rsid w:val="00D81F7F"/>
    <w:rsid w:val="00D94A2A"/>
    <w:rsid w:val="00DE0207"/>
    <w:rsid w:val="00E0465C"/>
    <w:rsid w:val="00E37675"/>
    <w:rsid w:val="00E76505"/>
    <w:rsid w:val="00EF282F"/>
    <w:rsid w:val="00F10D34"/>
    <w:rsid w:val="00F1360C"/>
    <w:rsid w:val="00F22D14"/>
    <w:rsid w:val="00F93F2D"/>
    <w:rsid w:val="00FA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772B5F"/>
  <w15:docId w15:val="{E38C1106-3CD6-4C15-A598-5482F4C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66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73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FCB"/>
    <w:rPr>
      <w:sz w:val="20"/>
      <w:szCs w:val="20"/>
    </w:rPr>
  </w:style>
  <w:style w:type="character" w:styleId="FootnoteReference">
    <w:name w:val="footnote reference"/>
    <w:basedOn w:val="DefaultParagraphFont"/>
    <w:uiPriority w:val="99"/>
    <w:semiHidden/>
    <w:unhideWhenUsed/>
    <w:rsid w:val="00673FCB"/>
    <w:rPr>
      <w:vertAlign w:val="superscript"/>
    </w:rPr>
  </w:style>
  <w:style w:type="character" w:styleId="CommentReference">
    <w:name w:val="annotation reference"/>
    <w:basedOn w:val="DefaultParagraphFont"/>
    <w:uiPriority w:val="99"/>
    <w:semiHidden/>
    <w:unhideWhenUsed/>
    <w:rsid w:val="00577C6C"/>
    <w:rPr>
      <w:sz w:val="16"/>
      <w:szCs w:val="16"/>
    </w:rPr>
  </w:style>
  <w:style w:type="paragraph" w:styleId="CommentText">
    <w:name w:val="annotation text"/>
    <w:basedOn w:val="Normal"/>
    <w:link w:val="CommentTextChar"/>
    <w:uiPriority w:val="99"/>
    <w:semiHidden/>
    <w:unhideWhenUsed/>
    <w:rsid w:val="00577C6C"/>
    <w:pPr>
      <w:spacing w:line="240" w:lineRule="auto"/>
    </w:pPr>
    <w:rPr>
      <w:sz w:val="20"/>
      <w:szCs w:val="20"/>
    </w:rPr>
  </w:style>
  <w:style w:type="character" w:customStyle="1" w:styleId="CommentTextChar">
    <w:name w:val="Comment Text Char"/>
    <w:basedOn w:val="DefaultParagraphFont"/>
    <w:link w:val="CommentText"/>
    <w:uiPriority w:val="99"/>
    <w:semiHidden/>
    <w:rsid w:val="00577C6C"/>
    <w:rPr>
      <w:sz w:val="20"/>
      <w:szCs w:val="20"/>
    </w:rPr>
  </w:style>
  <w:style w:type="paragraph" w:styleId="CommentSubject">
    <w:name w:val="annotation subject"/>
    <w:basedOn w:val="CommentText"/>
    <w:next w:val="CommentText"/>
    <w:link w:val="CommentSubjectChar"/>
    <w:uiPriority w:val="99"/>
    <w:semiHidden/>
    <w:unhideWhenUsed/>
    <w:rsid w:val="00577C6C"/>
    <w:rPr>
      <w:b/>
      <w:bCs/>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styleId="BalloonText">
    <w:name w:val="Balloon Text"/>
    <w:basedOn w:val="Normal"/>
    <w:link w:val="BalloonTextChar"/>
    <w:uiPriority w:val="99"/>
    <w:semiHidden/>
    <w:unhideWhenUsed/>
    <w:rsid w:val="0057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6C"/>
    <w:rPr>
      <w:rFonts w:ascii="Tahoma" w:hAnsi="Tahoma" w:cs="Tahoma"/>
      <w:sz w:val="16"/>
      <w:szCs w:val="16"/>
    </w:rPr>
  </w:style>
  <w:style w:type="paragraph" w:styleId="Header">
    <w:name w:val="header"/>
    <w:basedOn w:val="Normal"/>
    <w:link w:val="HeaderChar"/>
    <w:uiPriority w:val="99"/>
    <w:unhideWhenUsed/>
    <w:rsid w:val="00C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9F"/>
  </w:style>
  <w:style w:type="paragraph" w:styleId="Footer">
    <w:name w:val="footer"/>
    <w:basedOn w:val="Normal"/>
    <w:link w:val="FooterChar"/>
    <w:uiPriority w:val="99"/>
    <w:unhideWhenUsed/>
    <w:rsid w:val="00C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C16885F7B4D66A5D9813AA6A6C557"/>
        <w:category>
          <w:name w:val="General"/>
          <w:gallery w:val="placeholder"/>
        </w:category>
        <w:types>
          <w:type w:val="bbPlcHdr"/>
        </w:types>
        <w:behaviors>
          <w:behavior w:val="content"/>
        </w:behaviors>
        <w:guid w:val="{64BA0118-F8D0-417A-B9DA-5A88BF21D1BE}"/>
      </w:docPartPr>
      <w:docPartBody>
        <w:p w:rsidR="00386120" w:rsidRDefault="00D15C41" w:rsidP="00D15C41">
          <w:pPr>
            <w:pStyle w:val="EF7C16885F7B4D66A5D9813AA6A6C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41"/>
    <w:rsid w:val="00386120"/>
    <w:rsid w:val="00D1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D3A9E103D4CD08F99E395A9FB3610">
    <w:name w:val="69FD3A9E103D4CD08F99E395A9FB3610"/>
    <w:rsid w:val="00D15C41"/>
  </w:style>
  <w:style w:type="paragraph" w:customStyle="1" w:styleId="EF7C16885F7B4D66A5D9813AA6A6C557">
    <w:name w:val="EF7C16885F7B4D66A5D9813AA6A6C557"/>
    <w:rsid w:val="00D1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1E45-E968-4224-8262-E78600678E0C}">
  <ds:schemaRefs>
    <ds:schemaRef ds:uri="http://schemas.microsoft.com/sharepoint/v3/contenttype/forms"/>
  </ds:schemaRefs>
</ds:datastoreItem>
</file>

<file path=customXml/itemProps2.xml><?xml version="1.0" encoding="utf-8"?>
<ds:datastoreItem xmlns:ds="http://schemas.openxmlformats.org/officeDocument/2006/customXml" ds:itemID="{58FAA20C-9C0A-4453-BF7D-5EE2E3D759D0}">
  <ds:schemaRefs>
    <ds:schemaRef ds:uri="http://schemas.microsoft.com/office/2006/metadata/properties"/>
    <ds:schemaRef ds:uri="http://schemas.microsoft.com/sharepoint/v3"/>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AAB83B43-2D3F-4C39-84D6-D4FDADFE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EABB0-93F5-4DF7-93B8-7EC441D9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HIPAA Required Policies and Procedures</vt:lpstr>
    </vt:vector>
  </TitlesOfParts>
  <Company>DHCS and CDPH</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Required Policies and Procedures</dc:title>
  <dc:creator>Babb, Rochelle@OHI</dc:creator>
  <cp:lastModifiedBy>Babb, Rochelle@OHI</cp:lastModifiedBy>
  <cp:revision>11</cp:revision>
  <cp:lastPrinted>2017-05-17T19:56:00Z</cp:lastPrinted>
  <dcterms:created xsi:type="dcterms:W3CDTF">2017-03-06T15:18:00Z</dcterms:created>
  <dcterms:modified xsi:type="dcterms:W3CDTF">2018-05-01T23:39:00Z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