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140" w:type="dxa"/>
        <w:tblInd w:w="18" w:type="dxa"/>
        <w:tblLook w:val="04A0" w:firstRow="1" w:lastRow="0" w:firstColumn="1" w:lastColumn="0" w:noHBand="0" w:noVBand="1"/>
      </w:tblPr>
      <w:tblGrid>
        <w:gridCol w:w="13140"/>
      </w:tblGrid>
      <w:tr w:rsidR="005B2BAC" w:rsidRPr="002C21F5" w:rsidTr="002B1B3A">
        <w:trPr>
          <w:trHeight w:val="890"/>
        </w:trPr>
        <w:tc>
          <w:tcPr>
            <w:tcW w:w="13140" w:type="dxa"/>
            <w:shd w:val="pct15" w:color="auto" w:fill="auto"/>
          </w:tcPr>
          <w:p w:rsidR="005B2BAC" w:rsidRDefault="005B2BAC" w:rsidP="0012477C">
            <w:pPr>
              <w:jc w:val="center"/>
              <w:rPr>
                <w:rFonts w:cs="Arial"/>
                <w:b/>
              </w:rPr>
            </w:pPr>
            <w:bookmarkStart w:id="0" w:name="_GoBack"/>
            <w:bookmarkEnd w:id="0"/>
            <w:r>
              <w:rPr>
                <w:rFonts w:cs="Arial"/>
                <w:b/>
              </w:rPr>
              <w:t>CORE SERVICES</w:t>
            </w:r>
          </w:p>
          <w:p w:rsidR="005B2BAC" w:rsidRPr="00613291" w:rsidRDefault="005B2BAC" w:rsidP="0012477C">
            <w:pPr>
              <w:jc w:val="center"/>
              <w:rPr>
                <w:rFonts w:cs="Arial"/>
                <w:b/>
              </w:rPr>
            </w:pPr>
            <w:r w:rsidRPr="00613291">
              <w:rPr>
                <w:rFonts w:cs="Arial"/>
                <w:b/>
              </w:rPr>
              <w:t>Foster Family Agencies</w:t>
            </w:r>
          </w:p>
          <w:p w:rsidR="005B2BAC" w:rsidRPr="00613291" w:rsidRDefault="005B2BAC" w:rsidP="00613DDD">
            <w:pPr>
              <w:jc w:val="center"/>
              <w:rPr>
                <w:rFonts w:cs="Arial"/>
                <w:b/>
              </w:rPr>
            </w:pPr>
            <w:r>
              <w:rPr>
                <w:rFonts w:cs="Arial"/>
                <w:b/>
              </w:rPr>
              <w:t xml:space="preserve">(Excerpt of </w:t>
            </w:r>
            <w:r w:rsidRPr="00613291">
              <w:rPr>
                <w:rFonts w:cs="Arial"/>
                <w:b/>
              </w:rPr>
              <w:t>WIC 11463</w:t>
            </w:r>
            <w:r>
              <w:rPr>
                <w:rFonts w:cs="Arial"/>
                <w:b/>
              </w:rPr>
              <w:t>,</w:t>
            </w:r>
            <w:r w:rsidRPr="00613291">
              <w:rPr>
                <w:rFonts w:cs="Arial"/>
                <w:b/>
              </w:rPr>
              <w:t xml:space="preserve"> Sec </w:t>
            </w:r>
            <w:r>
              <w:rPr>
                <w:rFonts w:cs="Arial"/>
                <w:b/>
              </w:rPr>
              <w:t>85</w:t>
            </w:r>
            <w:r w:rsidRPr="00613291">
              <w:rPr>
                <w:rFonts w:cs="Arial"/>
                <w:b/>
              </w:rPr>
              <w:t xml:space="preserve"> AB 403</w:t>
            </w:r>
            <w:r>
              <w:rPr>
                <w:rFonts w:cs="Arial"/>
                <w:b/>
              </w:rPr>
              <w:t>, Operative 1/1/2017</w:t>
            </w:r>
            <w:r w:rsidRPr="00613291">
              <w:rPr>
                <w:rFonts w:cs="Arial"/>
                <w:b/>
              </w:rPr>
              <w:t>)</w:t>
            </w:r>
          </w:p>
        </w:tc>
      </w:tr>
      <w:tr w:rsidR="005B2BAC" w:rsidRPr="002C21F5" w:rsidTr="002B1B3A">
        <w:trPr>
          <w:trHeight w:val="890"/>
        </w:trPr>
        <w:tc>
          <w:tcPr>
            <w:tcW w:w="13140" w:type="dxa"/>
          </w:tcPr>
          <w:p w:rsidR="005B2BAC" w:rsidRPr="002059BB" w:rsidRDefault="005B2BAC" w:rsidP="00073EC1">
            <w:pPr>
              <w:pStyle w:val="Default"/>
              <w:rPr>
                <w:rFonts w:ascii="Arial" w:hAnsi="Arial" w:cs="Arial"/>
              </w:rPr>
            </w:pPr>
            <w:r w:rsidRPr="002059BB">
              <w:rPr>
                <w:rFonts w:ascii="Arial" w:hAnsi="Arial" w:cs="Arial"/>
                <w:b/>
              </w:rPr>
              <w:t>SEC. 85. Section 11463</w:t>
            </w:r>
            <w:r w:rsidRPr="002059BB">
              <w:rPr>
                <w:rFonts w:ascii="Arial" w:hAnsi="Arial" w:cs="Arial"/>
              </w:rPr>
              <w:t xml:space="preserve"> is added to the Welfare and Institutions Code, to read: </w:t>
            </w:r>
            <w:r w:rsidRPr="002059BB">
              <w:rPr>
                <w:rFonts w:ascii="Arial" w:hAnsi="Arial" w:cs="Arial"/>
                <w:b/>
              </w:rPr>
              <w:t>Core services</w:t>
            </w:r>
            <w:r w:rsidRPr="002059BB">
              <w:rPr>
                <w:rFonts w:ascii="Arial" w:hAnsi="Arial" w:cs="Arial"/>
              </w:rPr>
              <w:t xml:space="preserve">, made available to children and </w:t>
            </w:r>
            <w:proofErr w:type="spellStart"/>
            <w:r w:rsidRPr="002059BB">
              <w:rPr>
                <w:rFonts w:ascii="Arial" w:hAnsi="Arial" w:cs="Arial"/>
              </w:rPr>
              <w:t>nonminor</w:t>
            </w:r>
            <w:proofErr w:type="spellEnd"/>
            <w:r w:rsidRPr="002059BB">
              <w:rPr>
                <w:rFonts w:ascii="Arial" w:hAnsi="Arial" w:cs="Arial"/>
              </w:rPr>
              <w:t xml:space="preserve"> dependents either directly or secured through formal agreements with other agencies, which are </w:t>
            </w:r>
            <w:r w:rsidRPr="002059BB">
              <w:rPr>
                <w:rFonts w:ascii="Arial" w:hAnsi="Arial" w:cs="Arial"/>
                <w:b/>
              </w:rPr>
              <w:t>trauma-informed</w:t>
            </w:r>
            <w:r w:rsidR="00BE30F3">
              <w:rPr>
                <w:rStyle w:val="FootnoteReference"/>
                <w:rFonts w:ascii="Arial" w:hAnsi="Arial" w:cs="Arial"/>
                <w:b/>
              </w:rPr>
              <w:footnoteReference w:id="1"/>
            </w:r>
            <w:r w:rsidRPr="002059BB">
              <w:rPr>
                <w:rFonts w:ascii="Arial" w:hAnsi="Arial" w:cs="Arial"/>
              </w:rPr>
              <w:t xml:space="preserve"> and </w:t>
            </w:r>
            <w:r w:rsidRPr="002059BB">
              <w:rPr>
                <w:rFonts w:ascii="Arial" w:hAnsi="Arial" w:cs="Arial"/>
                <w:b/>
              </w:rPr>
              <w:t>culturally relevant</w:t>
            </w:r>
            <w:r w:rsidR="00BE30F3">
              <w:rPr>
                <w:rStyle w:val="FootnoteReference"/>
                <w:rFonts w:ascii="Arial" w:hAnsi="Arial" w:cs="Arial"/>
                <w:b/>
              </w:rPr>
              <w:footnoteReference w:id="2"/>
            </w:r>
            <w:r w:rsidRPr="002059BB">
              <w:rPr>
                <w:rFonts w:ascii="Arial" w:hAnsi="Arial" w:cs="Arial"/>
              </w:rPr>
              <w:t xml:space="preserve"> and include: </w:t>
            </w:r>
          </w:p>
          <w:p w:rsidR="005B2BAC" w:rsidRPr="002059BB" w:rsidRDefault="005B2BAC" w:rsidP="00E30038">
            <w:pPr>
              <w:pStyle w:val="Default"/>
              <w:rPr>
                <w:rFonts w:ascii="Arial" w:hAnsi="Arial" w:cs="Arial"/>
                <w:sz w:val="10"/>
                <w:szCs w:val="10"/>
              </w:rPr>
            </w:pPr>
            <w:r w:rsidRPr="002059BB">
              <w:rPr>
                <w:rFonts w:ascii="Arial" w:hAnsi="Arial" w:cs="Arial"/>
              </w:rPr>
              <w:t xml:space="preserve"> </w:t>
            </w:r>
          </w:p>
          <w:p w:rsidR="005B2BAC" w:rsidRPr="00903EE9" w:rsidRDefault="005B2BAC" w:rsidP="00073EC1">
            <w:pPr>
              <w:pStyle w:val="Default"/>
              <w:rPr>
                <w:rFonts w:ascii="Arial" w:hAnsi="Arial" w:cs="Arial"/>
                <w:i/>
              </w:rPr>
            </w:pPr>
            <w:r w:rsidRPr="002059BB">
              <w:rPr>
                <w:rFonts w:ascii="Arial" w:hAnsi="Arial" w:cs="Arial"/>
                <w:b/>
              </w:rPr>
              <w:t>(A)</w:t>
            </w:r>
            <w:r w:rsidRPr="002059BB">
              <w:rPr>
                <w:rFonts w:ascii="Arial" w:hAnsi="Arial" w:cs="Arial"/>
              </w:rPr>
              <w:t xml:space="preserve"> </w:t>
            </w:r>
            <w:r w:rsidRPr="002059BB">
              <w:rPr>
                <w:rFonts w:ascii="Arial" w:hAnsi="Arial" w:cs="Arial"/>
                <w:b/>
              </w:rPr>
              <w:t>Specialty mental health services</w:t>
            </w:r>
            <w:r w:rsidRPr="002059BB">
              <w:rPr>
                <w:rFonts w:ascii="Arial" w:hAnsi="Arial" w:cs="Arial"/>
              </w:rPr>
              <w:t xml:space="preserve"> </w:t>
            </w:r>
            <w:r w:rsidRPr="00903EE9">
              <w:rPr>
                <w:rFonts w:ascii="Arial" w:hAnsi="Arial" w:cs="Arial"/>
                <w:i/>
              </w:rPr>
              <w:t xml:space="preserve">refers to “for children who meet medical necessity criteria for specialty mental health services under the </w:t>
            </w:r>
            <w:proofErr w:type="spellStart"/>
            <w:r w:rsidRPr="00903EE9">
              <w:rPr>
                <w:rFonts w:ascii="Arial" w:hAnsi="Arial" w:cs="Arial"/>
                <w:i/>
              </w:rPr>
              <w:t>Medi</w:t>
            </w:r>
            <w:proofErr w:type="spellEnd"/>
            <w:r w:rsidRPr="00903EE9">
              <w:rPr>
                <w:rFonts w:ascii="Arial" w:hAnsi="Arial" w:cs="Arial"/>
                <w:i/>
              </w:rPr>
              <w:t>-Cal Early and Periodic Screening, Diagnosis, and Treatment program, as the criteria are described in Section 1830.210 of Title 9, of the California Code of Regulations.”</w:t>
            </w:r>
          </w:p>
          <w:p w:rsidR="005B2BAC" w:rsidRPr="002059BB" w:rsidRDefault="005B2BAC" w:rsidP="00073EC1">
            <w:pPr>
              <w:pStyle w:val="Default"/>
              <w:rPr>
                <w:rFonts w:ascii="Arial" w:hAnsi="Arial" w:cs="Arial"/>
                <w:sz w:val="10"/>
                <w:szCs w:val="10"/>
              </w:rPr>
            </w:pPr>
          </w:p>
          <w:p w:rsidR="005B2BAC" w:rsidRPr="002059BB" w:rsidRDefault="005B2BAC" w:rsidP="00073EC1">
            <w:pPr>
              <w:pStyle w:val="Default"/>
              <w:rPr>
                <w:rFonts w:ascii="Arial" w:hAnsi="Arial" w:cs="Arial"/>
              </w:rPr>
            </w:pPr>
            <w:r w:rsidRPr="002059BB">
              <w:rPr>
                <w:rFonts w:ascii="Arial" w:hAnsi="Arial" w:cs="Arial"/>
                <w:b/>
              </w:rPr>
              <w:t>(B) Transition Services</w:t>
            </w:r>
            <w:r w:rsidRPr="002059BB">
              <w:rPr>
                <w:rFonts w:ascii="Arial" w:hAnsi="Arial" w:cs="Arial"/>
              </w:rPr>
              <w:t xml:space="preserve"> refers to “support services for children, youth, and families upon initial entry and placement changes and for families who assume permanency through reunification, adoption, or guardianship.” </w:t>
            </w:r>
          </w:p>
          <w:p w:rsidR="005B2BAC" w:rsidRPr="002059BB" w:rsidRDefault="005B2BAC" w:rsidP="00073EC1">
            <w:pPr>
              <w:pStyle w:val="Default"/>
              <w:rPr>
                <w:rFonts w:ascii="Arial" w:hAnsi="Arial" w:cs="Arial"/>
                <w:sz w:val="10"/>
                <w:szCs w:val="10"/>
              </w:rPr>
            </w:pPr>
          </w:p>
          <w:p w:rsidR="005B2BAC" w:rsidRPr="002059BB" w:rsidRDefault="005B2BAC" w:rsidP="00073EC1">
            <w:pPr>
              <w:pStyle w:val="Default"/>
              <w:rPr>
                <w:rFonts w:ascii="Arial" w:hAnsi="Arial" w:cs="Arial"/>
              </w:rPr>
            </w:pPr>
            <w:r w:rsidRPr="002059BB">
              <w:rPr>
                <w:rFonts w:ascii="Arial" w:hAnsi="Arial" w:cs="Arial"/>
                <w:b/>
              </w:rPr>
              <w:t>(C)</w:t>
            </w:r>
            <w:r w:rsidRPr="002059BB">
              <w:rPr>
                <w:rFonts w:ascii="Arial" w:hAnsi="Arial" w:cs="Arial"/>
              </w:rPr>
              <w:t xml:space="preserve"> </w:t>
            </w:r>
            <w:r w:rsidRPr="002059BB">
              <w:rPr>
                <w:rFonts w:ascii="Arial" w:hAnsi="Arial" w:cs="Arial"/>
                <w:b/>
              </w:rPr>
              <w:t>Education, Physical, Behavioral, Mental Health, Extracurricular Supports</w:t>
            </w:r>
            <w:r w:rsidRPr="002059BB">
              <w:rPr>
                <w:rFonts w:ascii="Arial" w:hAnsi="Arial" w:cs="Arial"/>
              </w:rPr>
              <w:t xml:space="preserve"> refers to “educational and physical, behavioral, and mental health supports, including extracurricular activities and social supports.” </w:t>
            </w:r>
          </w:p>
          <w:p w:rsidR="005B2BAC" w:rsidRPr="002059BB" w:rsidRDefault="005B2BAC" w:rsidP="00073EC1">
            <w:pPr>
              <w:pStyle w:val="Default"/>
              <w:rPr>
                <w:rFonts w:ascii="Arial" w:hAnsi="Arial" w:cs="Arial"/>
                <w:sz w:val="10"/>
                <w:szCs w:val="10"/>
              </w:rPr>
            </w:pPr>
          </w:p>
          <w:p w:rsidR="005B2BAC" w:rsidRPr="002059BB" w:rsidRDefault="005B2BAC" w:rsidP="00073EC1">
            <w:pPr>
              <w:pStyle w:val="Default"/>
              <w:rPr>
                <w:rFonts w:ascii="Arial" w:hAnsi="Arial" w:cs="Arial"/>
              </w:rPr>
            </w:pPr>
            <w:r w:rsidRPr="002059BB">
              <w:rPr>
                <w:rFonts w:ascii="Arial" w:hAnsi="Arial" w:cs="Arial"/>
                <w:b/>
              </w:rPr>
              <w:t>(D) Transition to Adulthood Services</w:t>
            </w:r>
            <w:r w:rsidRPr="002059BB">
              <w:rPr>
                <w:rFonts w:ascii="Arial" w:hAnsi="Arial" w:cs="Arial"/>
              </w:rPr>
              <w:t xml:space="preserve"> refers to “activities designed to support transition-age youth and </w:t>
            </w:r>
            <w:proofErr w:type="spellStart"/>
            <w:r w:rsidRPr="002059BB">
              <w:rPr>
                <w:rFonts w:ascii="Arial" w:hAnsi="Arial" w:cs="Arial"/>
              </w:rPr>
              <w:t>nonminor</w:t>
            </w:r>
            <w:proofErr w:type="spellEnd"/>
            <w:r w:rsidRPr="002059BB">
              <w:rPr>
                <w:rFonts w:ascii="Arial" w:hAnsi="Arial" w:cs="Arial"/>
              </w:rPr>
              <w:t xml:space="preserve"> dependents in achieving a successful adulthood.” </w:t>
            </w:r>
          </w:p>
          <w:p w:rsidR="005B2BAC" w:rsidRPr="002059BB" w:rsidRDefault="005B2BAC" w:rsidP="00073EC1">
            <w:pPr>
              <w:pStyle w:val="Default"/>
              <w:rPr>
                <w:rFonts w:ascii="Arial" w:hAnsi="Arial" w:cs="Arial"/>
                <w:sz w:val="10"/>
                <w:szCs w:val="10"/>
              </w:rPr>
            </w:pPr>
          </w:p>
          <w:p w:rsidR="005B2BAC" w:rsidRPr="002059BB" w:rsidRDefault="005B2BAC" w:rsidP="00FC4ED3">
            <w:pPr>
              <w:pStyle w:val="Default"/>
              <w:rPr>
                <w:rFonts w:ascii="Arial" w:hAnsi="Arial" w:cs="Arial"/>
              </w:rPr>
            </w:pPr>
            <w:r w:rsidRPr="002059BB">
              <w:rPr>
                <w:rFonts w:ascii="Arial" w:hAnsi="Arial" w:cs="Arial"/>
                <w:b/>
              </w:rPr>
              <w:t>(E) Permanency Support Services</w:t>
            </w:r>
            <w:r w:rsidRPr="002059BB">
              <w:rPr>
                <w:rFonts w:ascii="Arial" w:hAnsi="Arial" w:cs="Arial"/>
              </w:rPr>
              <w:t xml:space="preserve"> refers to “services to achieve permanency, including supporting efforts to reunify or achieve adoption or guardianship and efforts to maintain or establish relationships with parents, siblings, extended family members, tribes, or others important to the child or youth, as appropriate.” </w:t>
            </w:r>
          </w:p>
          <w:p w:rsidR="005B2BAC" w:rsidRPr="002059BB" w:rsidRDefault="005B2BAC" w:rsidP="00656C1C">
            <w:pPr>
              <w:pStyle w:val="Default"/>
              <w:rPr>
                <w:rFonts w:ascii="Arial" w:hAnsi="Arial" w:cs="Arial"/>
                <w:sz w:val="10"/>
                <w:szCs w:val="10"/>
              </w:rPr>
            </w:pPr>
          </w:p>
          <w:p w:rsidR="005B2BAC" w:rsidRPr="002059BB" w:rsidRDefault="005B2BAC" w:rsidP="00E30038">
            <w:pPr>
              <w:pStyle w:val="Default"/>
              <w:rPr>
                <w:rFonts w:ascii="Arial" w:hAnsi="Arial" w:cs="Arial"/>
              </w:rPr>
            </w:pPr>
            <w:r w:rsidRPr="002059BB">
              <w:rPr>
                <w:rFonts w:ascii="Arial" w:hAnsi="Arial" w:cs="Arial"/>
                <w:b/>
              </w:rPr>
              <w:t>(F) Indian Child Services</w:t>
            </w:r>
            <w:r w:rsidRPr="002059BB">
              <w:rPr>
                <w:rFonts w:ascii="Arial" w:hAnsi="Arial" w:cs="Arial"/>
              </w:rPr>
              <w:t xml:space="preserve"> </w:t>
            </w:r>
            <w:r w:rsidRPr="00903EE9">
              <w:rPr>
                <w:rFonts w:ascii="Arial" w:hAnsi="Arial" w:cs="Arial"/>
                <w:i/>
              </w:rPr>
              <w:t>refers to “When serving Indian children, as defined in subdivisions (a) and (b) of Section 224.1, the core services specified in subparagraphs (A) to (E), inclusive, shall be provided to eligible children consistent with active efforts pursuant to Section 361.7.”</w:t>
            </w:r>
          </w:p>
        </w:tc>
      </w:tr>
    </w:tbl>
    <w:p w:rsidR="00B307BD" w:rsidRDefault="00B307BD" w:rsidP="00F50952">
      <w:pPr>
        <w:pStyle w:val="ListParagraph"/>
        <w:spacing w:after="0" w:line="240" w:lineRule="auto"/>
      </w:pPr>
    </w:p>
    <w:p w:rsidR="00803623" w:rsidRDefault="00B307BD" w:rsidP="00F50952">
      <w:pPr>
        <w:pStyle w:val="ListParagraph"/>
        <w:numPr>
          <w:ilvl w:val="0"/>
          <w:numId w:val="33"/>
        </w:numPr>
        <w:spacing w:after="0" w:line="240" w:lineRule="auto"/>
      </w:pPr>
      <w:r w:rsidRPr="00F50952">
        <w:rPr>
          <w:szCs w:val="24"/>
        </w:rPr>
        <w:t>The following pages list a summary of what services may include in each Core Services</w:t>
      </w:r>
      <w:r w:rsidR="00F50952" w:rsidRPr="00F50952">
        <w:rPr>
          <w:szCs w:val="24"/>
        </w:rPr>
        <w:t xml:space="preserve"> </w:t>
      </w:r>
      <w:r w:rsidR="00F50952">
        <w:rPr>
          <w:rFonts w:eastAsia="Times New Roman" w:cs="Arial"/>
          <w:szCs w:val="24"/>
        </w:rPr>
        <w:t>d</w:t>
      </w:r>
      <w:r w:rsidR="00F50952" w:rsidRPr="00F50952">
        <w:rPr>
          <w:rFonts w:eastAsia="Times New Roman" w:cs="Arial"/>
          <w:szCs w:val="24"/>
        </w:rPr>
        <w:t xml:space="preserve">epending on the type of placement and needs of a </w:t>
      </w:r>
      <w:r w:rsidR="00F50952">
        <w:rPr>
          <w:rFonts w:eastAsia="Times New Roman" w:cs="Arial"/>
          <w:szCs w:val="24"/>
        </w:rPr>
        <w:t xml:space="preserve">child or </w:t>
      </w:r>
      <w:r w:rsidR="00F50952" w:rsidRPr="00F50952">
        <w:rPr>
          <w:rFonts w:eastAsia="Times New Roman" w:cs="Arial"/>
          <w:szCs w:val="24"/>
        </w:rPr>
        <w:t>youth in foster care</w:t>
      </w:r>
      <w:r>
        <w:t>.</w:t>
      </w:r>
      <w:r w:rsidR="00803623">
        <w:br w:type="page"/>
      </w:r>
    </w:p>
    <w:tbl>
      <w:tblPr>
        <w:tblStyle w:val="TableGrid"/>
        <w:tblW w:w="5000" w:type="pct"/>
        <w:tblLook w:val="04A0" w:firstRow="1" w:lastRow="0" w:firstColumn="1" w:lastColumn="0" w:noHBand="0" w:noVBand="1"/>
      </w:tblPr>
      <w:tblGrid>
        <w:gridCol w:w="13176"/>
      </w:tblGrid>
      <w:tr w:rsidR="0089465F" w:rsidRPr="002C21F5" w:rsidTr="002B1B3A">
        <w:trPr>
          <w:trHeight w:val="620"/>
        </w:trPr>
        <w:tc>
          <w:tcPr>
            <w:tcW w:w="5000" w:type="pct"/>
            <w:shd w:val="pct15" w:color="auto" w:fill="auto"/>
            <w:vAlign w:val="center"/>
          </w:tcPr>
          <w:p w:rsidR="0089465F" w:rsidRPr="00C17A71" w:rsidRDefault="0089465F" w:rsidP="00962FA3">
            <w:pPr>
              <w:rPr>
                <w:rFonts w:eastAsia="MS Mincho" w:cs="Arial"/>
                <w:b/>
                <w:szCs w:val="24"/>
              </w:rPr>
            </w:pPr>
            <w:r w:rsidRPr="00C17A71">
              <w:rPr>
                <w:rFonts w:eastAsia="MS Mincho" w:cs="Arial"/>
                <w:b/>
                <w:szCs w:val="24"/>
              </w:rPr>
              <w:lastRenderedPageBreak/>
              <w:t xml:space="preserve">(B) Transition Services (placement change) </w:t>
            </w:r>
            <w:r w:rsidR="00BA2DEE" w:rsidRPr="00C17A71">
              <w:rPr>
                <w:rFonts w:cs="Arial"/>
                <w:b/>
              </w:rPr>
              <w:t xml:space="preserve">refers to “support services for children, youth, and families upon initial entry and placement changes and for families who assume permanency through reunification, adoption, or guardianship” </w:t>
            </w:r>
            <w:r w:rsidRPr="00C17A71">
              <w:rPr>
                <w:rFonts w:eastAsia="MS Mincho" w:cs="Arial"/>
                <w:b/>
                <w:szCs w:val="24"/>
              </w:rPr>
              <w:t>include, but are not limited to:</w:t>
            </w:r>
          </w:p>
        </w:tc>
      </w:tr>
      <w:tr w:rsidR="0089465F" w:rsidRPr="002C21F5" w:rsidTr="002B1B3A">
        <w:trPr>
          <w:trHeight w:val="890"/>
        </w:trPr>
        <w:tc>
          <w:tcPr>
            <w:tcW w:w="5000" w:type="pct"/>
          </w:tcPr>
          <w:p w:rsidR="0089465F" w:rsidRPr="00B322B5" w:rsidRDefault="0089465F" w:rsidP="00B322B5">
            <w:pPr>
              <w:pStyle w:val="ListParagraph"/>
              <w:numPr>
                <w:ilvl w:val="0"/>
                <w:numId w:val="3"/>
              </w:numPr>
              <w:ind w:left="360"/>
              <w:rPr>
                <w:rFonts w:cs="Arial"/>
              </w:rPr>
            </w:pPr>
            <w:r>
              <w:rPr>
                <w:rFonts w:cs="Arial"/>
              </w:rPr>
              <w:t>I</w:t>
            </w:r>
            <w:r w:rsidRPr="00A64309">
              <w:rPr>
                <w:rFonts w:cs="Arial"/>
              </w:rPr>
              <w:t>n age appropriate terms and ability</w:t>
            </w:r>
            <w:r>
              <w:rPr>
                <w:rFonts w:cs="Arial"/>
              </w:rPr>
              <w:t>, the child or youth</w:t>
            </w:r>
            <w:r w:rsidRPr="00A64309">
              <w:rPr>
                <w:rFonts w:cs="Arial"/>
              </w:rPr>
              <w:t xml:space="preserve"> and </w:t>
            </w:r>
            <w:r>
              <w:rPr>
                <w:rFonts w:cs="Arial"/>
              </w:rPr>
              <w:t>licensed provider may</w:t>
            </w:r>
            <w:r w:rsidRPr="00A64309">
              <w:rPr>
                <w:rFonts w:cs="Arial"/>
              </w:rPr>
              <w:t xml:space="preserve"> participate in child and family team meetings which </w:t>
            </w:r>
            <w:r>
              <w:rPr>
                <w:rFonts w:cs="Arial"/>
              </w:rPr>
              <w:t xml:space="preserve">are </w:t>
            </w:r>
            <w:r w:rsidRPr="00A64309">
              <w:rPr>
                <w:rFonts w:cs="Arial"/>
              </w:rPr>
              <w:t>reflect</w:t>
            </w:r>
            <w:r>
              <w:rPr>
                <w:rFonts w:cs="Arial"/>
              </w:rPr>
              <w:t>ed</w:t>
            </w:r>
            <w:r w:rsidRPr="00A64309">
              <w:rPr>
                <w:rFonts w:cs="Arial"/>
              </w:rPr>
              <w:t xml:space="preserve"> in the case planning that includes placement changes upon initial entry and/or placement changes with a permanency plan of reunificatio</w:t>
            </w:r>
            <w:r w:rsidRPr="0028244F">
              <w:rPr>
                <w:rFonts w:cs="Arial"/>
              </w:rPr>
              <w:t>n, guardianship, adoption, and/or any placement transitions.</w:t>
            </w:r>
            <w:r>
              <w:rPr>
                <w:rFonts w:cs="Arial"/>
              </w:rPr>
              <w:t xml:space="preserve"> For the purpose of easing placement changes, the placement change shall be explained to the child or youth.  </w:t>
            </w:r>
          </w:p>
          <w:p w:rsidR="0089465F" w:rsidRPr="00B322B5" w:rsidRDefault="0089465F" w:rsidP="00B322B5">
            <w:pPr>
              <w:rPr>
                <w:rFonts w:cs="Arial"/>
                <w:sz w:val="10"/>
                <w:szCs w:val="10"/>
              </w:rPr>
            </w:pPr>
          </w:p>
          <w:p w:rsidR="0089465F" w:rsidRPr="00B322B5" w:rsidRDefault="0089465F" w:rsidP="00B322B5">
            <w:pPr>
              <w:pStyle w:val="ListParagraph"/>
              <w:numPr>
                <w:ilvl w:val="0"/>
                <w:numId w:val="3"/>
              </w:numPr>
              <w:ind w:left="360"/>
              <w:rPr>
                <w:rFonts w:cs="Arial"/>
              </w:rPr>
            </w:pPr>
            <w:r>
              <w:rPr>
                <w:rFonts w:cs="Arial"/>
              </w:rPr>
              <w:t>To the extent permissible by law, i</w:t>
            </w:r>
            <w:r w:rsidRPr="00B322B5">
              <w:rPr>
                <w:rFonts w:cs="Arial"/>
              </w:rPr>
              <w:t xml:space="preserve">nformation </w:t>
            </w:r>
            <w:r>
              <w:rPr>
                <w:rFonts w:cs="Arial"/>
              </w:rPr>
              <w:t xml:space="preserve">in the possession of the transferring agency </w:t>
            </w:r>
            <w:r w:rsidRPr="00B322B5">
              <w:rPr>
                <w:rFonts w:cs="Arial"/>
              </w:rPr>
              <w:t xml:space="preserve">about the child or youth </w:t>
            </w:r>
            <w:r>
              <w:rPr>
                <w:rFonts w:cs="Arial"/>
              </w:rPr>
              <w:t>shall</w:t>
            </w:r>
            <w:r w:rsidRPr="00B322B5">
              <w:rPr>
                <w:rFonts w:cs="Arial"/>
              </w:rPr>
              <w:t xml:space="preserve"> be transferred to the new placement </w:t>
            </w:r>
            <w:r>
              <w:rPr>
                <w:rFonts w:cs="Arial"/>
              </w:rPr>
              <w:t xml:space="preserve">agency and </w:t>
            </w:r>
            <w:r w:rsidR="002D0616">
              <w:rPr>
                <w:rFonts w:cs="Arial"/>
              </w:rPr>
              <w:t>licensed provider</w:t>
            </w:r>
            <w:r>
              <w:rPr>
                <w:rFonts w:cs="Arial"/>
              </w:rPr>
              <w:t xml:space="preserve"> </w:t>
            </w:r>
            <w:r w:rsidRPr="00B322B5">
              <w:rPr>
                <w:rFonts w:cs="Arial"/>
              </w:rPr>
              <w:t xml:space="preserve">to support the child or youth’s transition. This </w:t>
            </w:r>
            <w:r>
              <w:rPr>
                <w:rFonts w:cs="Arial"/>
              </w:rPr>
              <w:t>includes</w:t>
            </w:r>
            <w:r w:rsidRPr="00B322B5">
              <w:rPr>
                <w:rFonts w:cs="Arial"/>
              </w:rPr>
              <w:t xml:space="preserve"> all records of </w:t>
            </w:r>
            <w:r>
              <w:rPr>
                <w:rFonts w:cs="Arial"/>
              </w:rPr>
              <w:t>the c</w:t>
            </w:r>
            <w:r w:rsidRPr="00B322B5">
              <w:rPr>
                <w:rFonts w:cs="Arial"/>
              </w:rPr>
              <w:t>hild</w:t>
            </w:r>
            <w:r>
              <w:rPr>
                <w:rFonts w:cs="Arial"/>
              </w:rPr>
              <w:t xml:space="preserve"> or y</w:t>
            </w:r>
            <w:r w:rsidRPr="00B322B5">
              <w:rPr>
                <w:rFonts w:cs="Arial"/>
              </w:rPr>
              <w:t>outh including</w:t>
            </w:r>
            <w:r>
              <w:rPr>
                <w:rFonts w:cs="Arial"/>
              </w:rPr>
              <w:t>, but not limited to</w:t>
            </w:r>
            <w:r w:rsidR="00F70787">
              <w:rPr>
                <w:rFonts w:cs="Arial"/>
              </w:rPr>
              <w:t>,</w:t>
            </w:r>
            <w:r w:rsidRPr="00B322B5">
              <w:rPr>
                <w:rFonts w:cs="Arial"/>
              </w:rPr>
              <w:t xml:space="preserve"> medical and educational records</w:t>
            </w:r>
            <w:r w:rsidR="002D0616">
              <w:rPr>
                <w:rFonts w:cs="Arial"/>
              </w:rPr>
              <w:t xml:space="preserve"> in continuing the continuum of </w:t>
            </w:r>
            <w:r w:rsidR="00F70787">
              <w:rPr>
                <w:rFonts w:cs="Arial"/>
              </w:rPr>
              <w:t>service</w:t>
            </w:r>
            <w:r w:rsidRPr="00B322B5">
              <w:rPr>
                <w:rFonts w:cs="Arial"/>
              </w:rPr>
              <w:t>.</w:t>
            </w:r>
          </w:p>
          <w:p w:rsidR="0089465F" w:rsidRPr="00B322B5" w:rsidRDefault="0089465F" w:rsidP="00B322B5">
            <w:pPr>
              <w:rPr>
                <w:rFonts w:cs="Arial"/>
                <w:sz w:val="10"/>
                <w:szCs w:val="10"/>
              </w:rPr>
            </w:pPr>
          </w:p>
          <w:p w:rsidR="0089465F" w:rsidRPr="00B322B5" w:rsidRDefault="0089465F" w:rsidP="00B322B5">
            <w:pPr>
              <w:pStyle w:val="ListParagraph"/>
              <w:numPr>
                <w:ilvl w:val="0"/>
                <w:numId w:val="3"/>
              </w:numPr>
              <w:ind w:left="360"/>
              <w:rPr>
                <w:rFonts w:cs="Arial"/>
              </w:rPr>
            </w:pPr>
            <w:r>
              <w:rPr>
                <w:rFonts w:cs="Arial"/>
              </w:rPr>
              <w:t>Assistance for child or youth to participate w</w:t>
            </w:r>
            <w:r w:rsidRPr="00B322B5">
              <w:rPr>
                <w:rFonts w:cs="Arial"/>
              </w:rPr>
              <w:t>hen a placement change of reunification, guardianship, adoption</w:t>
            </w:r>
            <w:r>
              <w:rPr>
                <w:rFonts w:cs="Arial"/>
              </w:rPr>
              <w:t>,</w:t>
            </w:r>
            <w:r w:rsidRPr="00B322B5">
              <w:rPr>
                <w:rFonts w:cs="Arial"/>
              </w:rPr>
              <w:t xml:space="preserve"> or placement transition </w:t>
            </w:r>
            <w:r>
              <w:rPr>
                <w:rFonts w:cs="Arial"/>
              </w:rPr>
              <w:t xml:space="preserve">appears likely to </w:t>
            </w:r>
            <w:r w:rsidRPr="00B322B5">
              <w:rPr>
                <w:rFonts w:cs="Arial"/>
              </w:rPr>
              <w:t>occur.</w:t>
            </w:r>
            <w:r>
              <w:rPr>
                <w:rFonts w:cs="Arial"/>
              </w:rPr>
              <w:t xml:space="preserve"> The frequency of these visits should increase depending on the age and ability of the child or youth with the goal of easing the transition.</w:t>
            </w:r>
          </w:p>
          <w:p w:rsidR="0089465F" w:rsidRPr="00B322B5" w:rsidRDefault="0089465F" w:rsidP="00B322B5">
            <w:pPr>
              <w:rPr>
                <w:rFonts w:cs="Arial"/>
                <w:sz w:val="10"/>
                <w:szCs w:val="10"/>
              </w:rPr>
            </w:pPr>
          </w:p>
          <w:p w:rsidR="0089465F" w:rsidRPr="002059BB" w:rsidRDefault="0089465F" w:rsidP="00B322B5">
            <w:pPr>
              <w:pStyle w:val="ListParagraph"/>
              <w:numPr>
                <w:ilvl w:val="0"/>
                <w:numId w:val="3"/>
              </w:numPr>
              <w:ind w:left="360"/>
              <w:rPr>
                <w:rFonts w:cs="Arial"/>
              </w:rPr>
            </w:pPr>
            <w:r>
              <w:rPr>
                <w:rFonts w:cs="Arial"/>
              </w:rPr>
              <w:t>Assistance for the child or youth to participate in f</w:t>
            </w:r>
            <w:r w:rsidRPr="002059BB">
              <w:rPr>
                <w:rFonts w:cs="Arial"/>
              </w:rPr>
              <w:t>amily finding in order to locate family members</w:t>
            </w:r>
            <w:r>
              <w:rPr>
                <w:rFonts w:cs="Arial"/>
              </w:rPr>
              <w:t xml:space="preserve"> or other supportive adults</w:t>
            </w:r>
            <w:r w:rsidRPr="002059BB">
              <w:rPr>
                <w:rFonts w:cs="Arial"/>
              </w:rPr>
              <w:t xml:space="preserve"> </w:t>
            </w:r>
            <w:r>
              <w:rPr>
                <w:rFonts w:cs="Arial"/>
              </w:rPr>
              <w:t>who may be willing to provide</w:t>
            </w:r>
            <w:r w:rsidRPr="002059BB">
              <w:rPr>
                <w:rFonts w:cs="Arial"/>
              </w:rPr>
              <w:t xml:space="preserve"> permanency. </w:t>
            </w:r>
          </w:p>
          <w:p w:rsidR="0089465F" w:rsidRPr="002059BB" w:rsidRDefault="0089465F" w:rsidP="00B322B5">
            <w:pPr>
              <w:rPr>
                <w:rFonts w:cs="Arial"/>
                <w:sz w:val="10"/>
                <w:szCs w:val="10"/>
              </w:rPr>
            </w:pPr>
          </w:p>
          <w:p w:rsidR="0089465F" w:rsidRDefault="0089465F" w:rsidP="00B307BD">
            <w:pPr>
              <w:pStyle w:val="ListParagraph"/>
              <w:numPr>
                <w:ilvl w:val="0"/>
                <w:numId w:val="3"/>
              </w:numPr>
              <w:ind w:left="360"/>
              <w:rPr>
                <w:rFonts w:cs="Arial"/>
              </w:rPr>
            </w:pPr>
            <w:r>
              <w:rPr>
                <w:rFonts w:cs="Arial"/>
              </w:rPr>
              <w:t>A</w:t>
            </w:r>
            <w:r w:rsidRPr="00856074">
              <w:rPr>
                <w:rFonts w:cs="Arial"/>
              </w:rPr>
              <w:t xml:space="preserve"> form of </w:t>
            </w:r>
            <w:r>
              <w:rPr>
                <w:rFonts w:cs="Arial"/>
              </w:rPr>
              <w:t>service</w:t>
            </w:r>
            <w:r w:rsidR="00DC4667">
              <w:rPr>
                <w:rFonts w:cs="Arial"/>
              </w:rPr>
              <w:t>(</w:t>
            </w:r>
            <w:r>
              <w:rPr>
                <w:rFonts w:cs="Arial"/>
              </w:rPr>
              <w:t>s</w:t>
            </w:r>
            <w:r w:rsidR="00DC4667">
              <w:rPr>
                <w:rFonts w:cs="Arial"/>
              </w:rPr>
              <w:t>)</w:t>
            </w:r>
            <w:r>
              <w:rPr>
                <w:rFonts w:cs="Arial"/>
              </w:rPr>
              <w:t xml:space="preserve"> to support placement stability may include, but </w:t>
            </w:r>
            <w:r w:rsidR="00F70787">
              <w:rPr>
                <w:rFonts w:cs="Arial"/>
              </w:rPr>
              <w:t xml:space="preserve">are </w:t>
            </w:r>
            <w:r>
              <w:rPr>
                <w:rFonts w:cs="Arial"/>
              </w:rPr>
              <w:t xml:space="preserve">not limited to, </w:t>
            </w:r>
            <w:r w:rsidRPr="00856074">
              <w:t>temporary care</w:t>
            </w:r>
            <w:r>
              <w:rPr>
                <w:rFonts w:cs="Arial"/>
              </w:rPr>
              <w:t xml:space="preserve"> </w:t>
            </w:r>
            <w:r w:rsidRPr="00856074">
              <w:rPr>
                <w:rFonts w:cs="Arial"/>
              </w:rPr>
              <w:t>to stabilize, support</w:t>
            </w:r>
            <w:r>
              <w:rPr>
                <w:rFonts w:cs="Arial"/>
              </w:rPr>
              <w:t>,</w:t>
            </w:r>
            <w:r w:rsidRPr="00856074">
              <w:rPr>
                <w:rFonts w:cs="Arial"/>
              </w:rPr>
              <w:t xml:space="preserve"> and maintain a placement </w:t>
            </w:r>
            <w:r>
              <w:rPr>
                <w:rFonts w:cs="Arial"/>
              </w:rPr>
              <w:t xml:space="preserve">in order </w:t>
            </w:r>
            <w:r w:rsidRPr="00856074">
              <w:rPr>
                <w:rFonts w:cs="Arial"/>
              </w:rPr>
              <w:t>to prevent a placement change.</w:t>
            </w:r>
          </w:p>
          <w:p w:rsidR="0089465F" w:rsidRPr="002B1B3A" w:rsidRDefault="0089465F" w:rsidP="002B1B3A">
            <w:pPr>
              <w:pStyle w:val="ListParagraph"/>
              <w:rPr>
                <w:rFonts w:cs="Arial"/>
                <w:sz w:val="10"/>
                <w:szCs w:val="10"/>
              </w:rPr>
            </w:pPr>
          </w:p>
          <w:p w:rsidR="0089465F" w:rsidRPr="00B307BD" w:rsidRDefault="0089465F" w:rsidP="00B307BD">
            <w:pPr>
              <w:pStyle w:val="ListParagraph"/>
              <w:numPr>
                <w:ilvl w:val="0"/>
                <w:numId w:val="3"/>
              </w:numPr>
              <w:ind w:left="360"/>
              <w:rPr>
                <w:rFonts w:cs="Arial"/>
              </w:rPr>
            </w:pPr>
            <w:r>
              <w:rPr>
                <w:rFonts w:cs="Arial"/>
              </w:rPr>
              <w:t>Etcetera</w:t>
            </w:r>
          </w:p>
        </w:tc>
      </w:tr>
    </w:tbl>
    <w:p w:rsidR="00803623" w:rsidRDefault="00803623">
      <w:r>
        <w:br w:type="page"/>
      </w:r>
    </w:p>
    <w:tbl>
      <w:tblPr>
        <w:tblStyle w:val="TableGrid"/>
        <w:tblW w:w="4993" w:type="pct"/>
        <w:tblLook w:val="04A0" w:firstRow="1" w:lastRow="0" w:firstColumn="1" w:lastColumn="0" w:noHBand="0" w:noVBand="1"/>
      </w:tblPr>
      <w:tblGrid>
        <w:gridCol w:w="13158"/>
      </w:tblGrid>
      <w:tr w:rsidR="0089465F" w:rsidRPr="002C21F5" w:rsidTr="002B1B3A">
        <w:trPr>
          <w:trHeight w:val="615"/>
        </w:trPr>
        <w:tc>
          <w:tcPr>
            <w:tcW w:w="5000" w:type="pct"/>
            <w:shd w:val="pct15" w:color="auto" w:fill="auto"/>
            <w:vAlign w:val="center"/>
          </w:tcPr>
          <w:p w:rsidR="0089465F" w:rsidRPr="00C17A71" w:rsidRDefault="0089465F" w:rsidP="00962FA3">
            <w:pPr>
              <w:pStyle w:val="Default"/>
              <w:rPr>
                <w:rFonts w:ascii="Arial" w:hAnsi="Arial" w:cs="Arial"/>
                <w:b/>
              </w:rPr>
            </w:pPr>
            <w:r w:rsidRPr="00C17A71">
              <w:rPr>
                <w:rFonts w:ascii="Arial" w:hAnsi="Arial" w:cs="Arial"/>
                <w:b/>
              </w:rPr>
              <w:lastRenderedPageBreak/>
              <w:t>(C) Education, Physical, Behavioral, Mental Health, Extracurricular Supports</w:t>
            </w:r>
            <w:r w:rsidR="00BA2DEE" w:rsidRPr="00C17A71">
              <w:rPr>
                <w:rFonts w:ascii="Arial" w:hAnsi="Arial" w:cs="Arial"/>
                <w:b/>
              </w:rPr>
              <w:t xml:space="preserve"> refers to “educational and physical, behavioral, and mental health supports, including extracurricular activities and social supports”</w:t>
            </w:r>
            <w:r w:rsidRPr="00C17A71">
              <w:rPr>
                <w:rFonts w:ascii="Arial" w:hAnsi="Arial" w:cs="Arial"/>
                <w:b/>
              </w:rPr>
              <w:t xml:space="preserve"> include, but are not limited to:</w:t>
            </w:r>
          </w:p>
        </w:tc>
      </w:tr>
      <w:tr w:rsidR="0089465F" w:rsidRPr="002C21F5" w:rsidTr="002B1B3A">
        <w:trPr>
          <w:trHeight w:val="890"/>
        </w:trPr>
        <w:tc>
          <w:tcPr>
            <w:tcW w:w="5000" w:type="pct"/>
            <w:shd w:val="pct15" w:color="auto" w:fill="auto"/>
          </w:tcPr>
          <w:p w:rsidR="0089465F" w:rsidRPr="00D625DA" w:rsidRDefault="0089465F" w:rsidP="00404E58">
            <w:pPr>
              <w:pStyle w:val="ListParagraph"/>
              <w:numPr>
                <w:ilvl w:val="0"/>
                <w:numId w:val="5"/>
              </w:numPr>
              <w:rPr>
                <w:rFonts w:cs="Arial"/>
              </w:rPr>
            </w:pPr>
            <w:r>
              <w:rPr>
                <w:rFonts w:cs="Arial"/>
              </w:rPr>
              <w:t>Assistance to ensure c</w:t>
            </w:r>
            <w:r w:rsidRPr="00D625DA">
              <w:rPr>
                <w:rFonts w:cs="Arial"/>
              </w:rPr>
              <w:t>hild or youth attend</w:t>
            </w:r>
            <w:r>
              <w:rPr>
                <w:rFonts w:cs="Arial"/>
              </w:rPr>
              <w:t>s</w:t>
            </w:r>
            <w:r w:rsidRPr="00D625DA">
              <w:rPr>
                <w:rFonts w:cs="Arial"/>
              </w:rPr>
              <w:t xml:space="preserve"> school of origin or school where previously placed</w:t>
            </w:r>
            <w:r>
              <w:rPr>
                <w:rFonts w:cs="Arial"/>
              </w:rPr>
              <w:t>,</w:t>
            </w:r>
            <w:r w:rsidRPr="00D625DA">
              <w:rPr>
                <w:rFonts w:cs="Arial"/>
              </w:rPr>
              <w:t xml:space="preserve"> and if out of </w:t>
            </w:r>
            <w:r>
              <w:rPr>
                <w:rFonts w:cs="Arial"/>
              </w:rPr>
              <w:t xml:space="preserve">the </w:t>
            </w:r>
            <w:r w:rsidRPr="00D625DA">
              <w:rPr>
                <w:rFonts w:cs="Arial"/>
              </w:rPr>
              <w:t>district</w:t>
            </w:r>
            <w:r>
              <w:rPr>
                <w:rFonts w:cs="Arial"/>
              </w:rPr>
              <w:t>, provide</w:t>
            </w:r>
            <w:r w:rsidRPr="00D625DA">
              <w:rPr>
                <w:rFonts w:cs="Arial"/>
              </w:rPr>
              <w:t xml:space="preserve"> transportation to the school.</w:t>
            </w:r>
          </w:p>
          <w:p w:rsidR="0089465F" w:rsidRPr="00D625DA" w:rsidRDefault="0089465F" w:rsidP="00D625DA">
            <w:pPr>
              <w:pStyle w:val="ListParagraph"/>
              <w:ind w:left="420"/>
              <w:rPr>
                <w:rFonts w:cs="Arial"/>
                <w:sz w:val="10"/>
                <w:szCs w:val="10"/>
              </w:rPr>
            </w:pPr>
          </w:p>
          <w:p w:rsidR="0089465F" w:rsidRDefault="0089465F" w:rsidP="00404E58">
            <w:pPr>
              <w:pStyle w:val="ListParagraph"/>
              <w:numPr>
                <w:ilvl w:val="0"/>
                <w:numId w:val="5"/>
              </w:numPr>
              <w:rPr>
                <w:rFonts w:cs="Arial"/>
              </w:rPr>
            </w:pPr>
            <w:r>
              <w:rPr>
                <w:rFonts w:cs="Arial"/>
              </w:rPr>
              <w:t>Assistance to ensure c</w:t>
            </w:r>
            <w:r w:rsidRPr="00D625DA">
              <w:rPr>
                <w:rFonts w:cs="Arial"/>
              </w:rPr>
              <w:t xml:space="preserve">hild or youth </w:t>
            </w:r>
            <w:r>
              <w:rPr>
                <w:rFonts w:cs="Arial"/>
              </w:rPr>
              <w:t>is</w:t>
            </w:r>
            <w:r w:rsidRPr="00D625DA">
              <w:rPr>
                <w:rFonts w:cs="Arial"/>
              </w:rPr>
              <w:t xml:space="preserve"> immediately enrolled in a school </w:t>
            </w:r>
            <w:r>
              <w:rPr>
                <w:rFonts w:cs="Arial"/>
              </w:rPr>
              <w:t xml:space="preserve">despite the lack of immediately available </w:t>
            </w:r>
            <w:r w:rsidRPr="00D625DA">
              <w:rPr>
                <w:rFonts w:cs="Arial"/>
              </w:rPr>
              <w:t>transfer records and immunization records</w:t>
            </w:r>
            <w:r>
              <w:rPr>
                <w:rFonts w:cs="Arial"/>
              </w:rPr>
              <w:t xml:space="preserve"> if the child or youth is unable to attend </w:t>
            </w:r>
            <w:r w:rsidR="003C52D1">
              <w:rPr>
                <w:rFonts w:cs="Arial"/>
              </w:rPr>
              <w:t xml:space="preserve">the </w:t>
            </w:r>
            <w:r>
              <w:rPr>
                <w:rFonts w:cs="Arial"/>
              </w:rPr>
              <w:t>school of origin or school where previously placed</w:t>
            </w:r>
            <w:r w:rsidRPr="00D625DA">
              <w:rPr>
                <w:rFonts w:cs="Arial"/>
              </w:rPr>
              <w:t xml:space="preserve">. </w:t>
            </w:r>
          </w:p>
          <w:p w:rsidR="0089465F" w:rsidRPr="002B1B3A" w:rsidRDefault="0089465F" w:rsidP="002B1B3A">
            <w:pPr>
              <w:pStyle w:val="ListParagraph"/>
              <w:rPr>
                <w:rFonts w:cs="Arial"/>
                <w:sz w:val="10"/>
                <w:szCs w:val="10"/>
              </w:rPr>
            </w:pPr>
          </w:p>
          <w:p w:rsidR="0089465F" w:rsidRPr="00D625DA" w:rsidRDefault="0089465F" w:rsidP="00404E58">
            <w:pPr>
              <w:pStyle w:val="ListParagraph"/>
              <w:numPr>
                <w:ilvl w:val="0"/>
                <w:numId w:val="5"/>
              </w:numPr>
              <w:rPr>
                <w:rFonts w:cs="Arial"/>
              </w:rPr>
            </w:pPr>
            <w:r>
              <w:rPr>
                <w:rFonts w:cs="Arial"/>
              </w:rPr>
              <w:t xml:space="preserve">Assistance to ensure child or youth is issued partial credits by the prior school and not </w:t>
            </w:r>
            <w:proofErr w:type="gramStart"/>
            <w:r>
              <w:rPr>
                <w:rFonts w:cs="Arial"/>
              </w:rPr>
              <w:t>reenroll</w:t>
            </w:r>
            <w:proofErr w:type="gramEnd"/>
            <w:r>
              <w:rPr>
                <w:rFonts w:cs="Arial"/>
              </w:rPr>
              <w:t xml:space="preserve"> in previously completed courses in the prior school.</w:t>
            </w:r>
          </w:p>
          <w:p w:rsidR="0089465F" w:rsidRPr="00D625DA" w:rsidRDefault="0089465F" w:rsidP="00D625DA">
            <w:pPr>
              <w:rPr>
                <w:rFonts w:cs="Arial"/>
                <w:sz w:val="10"/>
                <w:szCs w:val="10"/>
              </w:rPr>
            </w:pPr>
          </w:p>
          <w:p w:rsidR="0089465F" w:rsidRPr="00D625DA" w:rsidRDefault="0089465F" w:rsidP="00404E58">
            <w:pPr>
              <w:pStyle w:val="ListParagraph"/>
              <w:numPr>
                <w:ilvl w:val="0"/>
                <w:numId w:val="5"/>
              </w:numPr>
              <w:rPr>
                <w:rFonts w:cs="Arial"/>
              </w:rPr>
            </w:pPr>
            <w:r>
              <w:rPr>
                <w:rFonts w:cs="Arial"/>
              </w:rPr>
              <w:t>Assistance to ensure child or y</w:t>
            </w:r>
            <w:r w:rsidRPr="00D625DA">
              <w:rPr>
                <w:rFonts w:cs="Arial"/>
              </w:rPr>
              <w:t xml:space="preserve">outh </w:t>
            </w:r>
            <w:r>
              <w:rPr>
                <w:rFonts w:cs="Arial"/>
              </w:rPr>
              <w:t>has</w:t>
            </w:r>
            <w:r w:rsidRPr="00D625DA">
              <w:rPr>
                <w:rFonts w:cs="Arial"/>
              </w:rPr>
              <w:t xml:space="preserve"> access to the same academic resources</w:t>
            </w:r>
            <w:r>
              <w:rPr>
                <w:rFonts w:cs="Arial"/>
              </w:rPr>
              <w:t xml:space="preserve"> as all students including appropriate school supplies and</w:t>
            </w:r>
            <w:r w:rsidRPr="00D625DA">
              <w:rPr>
                <w:rFonts w:cs="Arial"/>
              </w:rPr>
              <w:t xml:space="preserve"> services</w:t>
            </w:r>
            <w:r w:rsidR="00F50952">
              <w:rPr>
                <w:rFonts w:cs="Arial"/>
              </w:rPr>
              <w:t xml:space="preserve"> and</w:t>
            </w:r>
            <w:r w:rsidRPr="00D625DA">
              <w:rPr>
                <w:rFonts w:cs="Arial"/>
              </w:rPr>
              <w:t xml:space="preserve"> </w:t>
            </w:r>
            <w:r w:rsidR="00133691">
              <w:rPr>
                <w:rFonts w:cs="Arial"/>
              </w:rPr>
              <w:t xml:space="preserve">transportation to </w:t>
            </w:r>
            <w:r w:rsidRPr="00D625DA">
              <w:rPr>
                <w:rFonts w:cs="Arial"/>
              </w:rPr>
              <w:t>extracurricular and enrichment activities such as clubs</w:t>
            </w:r>
            <w:r>
              <w:rPr>
                <w:rFonts w:cs="Arial"/>
              </w:rPr>
              <w:t>,</w:t>
            </w:r>
            <w:r w:rsidRPr="00D625DA">
              <w:rPr>
                <w:rFonts w:cs="Arial"/>
              </w:rPr>
              <w:t xml:space="preserve"> sports</w:t>
            </w:r>
            <w:r>
              <w:rPr>
                <w:rFonts w:cs="Arial"/>
              </w:rPr>
              <w:t>, religious activities of their choice, club and league sports, culturally relevant activities,</w:t>
            </w:r>
            <w:r w:rsidRPr="00D625DA">
              <w:rPr>
                <w:rFonts w:cs="Arial"/>
              </w:rPr>
              <w:t xml:space="preserve"> </w:t>
            </w:r>
            <w:r>
              <w:rPr>
                <w:rFonts w:cs="Arial"/>
              </w:rPr>
              <w:t>school dances, s</w:t>
            </w:r>
            <w:r w:rsidRPr="00D625DA">
              <w:rPr>
                <w:rFonts w:cs="Arial"/>
              </w:rPr>
              <w:t>chool pictures</w:t>
            </w:r>
            <w:r>
              <w:rPr>
                <w:rFonts w:cs="Arial"/>
              </w:rPr>
              <w:t>,</w:t>
            </w:r>
            <w:r w:rsidRPr="00D625DA">
              <w:rPr>
                <w:rFonts w:cs="Arial"/>
              </w:rPr>
              <w:t xml:space="preserve"> yearbooks</w:t>
            </w:r>
            <w:r>
              <w:rPr>
                <w:rFonts w:cs="Arial"/>
              </w:rPr>
              <w:t>,</w:t>
            </w:r>
            <w:r w:rsidRPr="00D625DA">
              <w:rPr>
                <w:rFonts w:cs="Arial"/>
              </w:rPr>
              <w:t xml:space="preserve"> etc.  </w:t>
            </w:r>
          </w:p>
          <w:p w:rsidR="0089465F" w:rsidRPr="00D625DA" w:rsidRDefault="0089465F" w:rsidP="00D625DA">
            <w:pPr>
              <w:rPr>
                <w:rFonts w:cs="Arial"/>
                <w:sz w:val="10"/>
                <w:szCs w:val="10"/>
              </w:rPr>
            </w:pPr>
          </w:p>
          <w:p w:rsidR="0089465F" w:rsidRPr="00D625DA" w:rsidRDefault="0089465F" w:rsidP="00404E58">
            <w:pPr>
              <w:pStyle w:val="ListParagraph"/>
              <w:numPr>
                <w:ilvl w:val="0"/>
                <w:numId w:val="5"/>
              </w:numPr>
              <w:rPr>
                <w:rFonts w:cs="Arial"/>
              </w:rPr>
            </w:pPr>
            <w:r>
              <w:rPr>
                <w:rFonts w:cs="Arial"/>
              </w:rPr>
              <w:t>Assistance to ensure c</w:t>
            </w:r>
            <w:r w:rsidRPr="00D625DA">
              <w:rPr>
                <w:rFonts w:cs="Arial"/>
              </w:rPr>
              <w:t xml:space="preserve">hild or </w:t>
            </w:r>
            <w:r>
              <w:rPr>
                <w:rFonts w:cs="Arial"/>
              </w:rPr>
              <w:t>y</w:t>
            </w:r>
            <w:r w:rsidRPr="00D625DA">
              <w:rPr>
                <w:rFonts w:cs="Arial"/>
              </w:rPr>
              <w:t xml:space="preserve">outh </w:t>
            </w:r>
            <w:r w:rsidRPr="00A64309">
              <w:rPr>
                <w:rFonts w:cs="Arial"/>
              </w:rPr>
              <w:t>(</w:t>
            </w:r>
            <w:r w:rsidR="001453BE">
              <w:rPr>
                <w:rFonts w:cs="Arial"/>
              </w:rPr>
              <w:t>in age</w:t>
            </w:r>
            <w:r w:rsidRPr="00A64309">
              <w:rPr>
                <w:rFonts w:cs="Arial"/>
              </w:rPr>
              <w:t xml:space="preserve"> appropriate </w:t>
            </w:r>
            <w:r w:rsidR="001453BE">
              <w:rPr>
                <w:rFonts w:cs="Arial"/>
              </w:rPr>
              <w:t xml:space="preserve">terms </w:t>
            </w:r>
            <w:r w:rsidRPr="00A64309">
              <w:rPr>
                <w:rFonts w:cs="Arial"/>
              </w:rPr>
              <w:t>and ability)</w:t>
            </w:r>
            <w:r w:rsidR="001453BE">
              <w:rPr>
                <w:rFonts w:cs="Arial"/>
              </w:rPr>
              <w:t xml:space="preserve">, </w:t>
            </w:r>
            <w:r>
              <w:rPr>
                <w:rFonts w:cs="Arial"/>
              </w:rPr>
              <w:t>together with the holder of educational rights and other pertinent parties</w:t>
            </w:r>
            <w:r w:rsidR="001453BE">
              <w:rPr>
                <w:rFonts w:cs="Arial"/>
              </w:rPr>
              <w:t xml:space="preserve">, is </w:t>
            </w:r>
            <w:r w:rsidR="001453BE" w:rsidRPr="00D625DA">
              <w:rPr>
                <w:rFonts w:cs="Arial"/>
              </w:rPr>
              <w:t xml:space="preserve">included in </w:t>
            </w:r>
            <w:r w:rsidR="001453BE">
              <w:rPr>
                <w:rFonts w:cs="Arial"/>
              </w:rPr>
              <w:t xml:space="preserve">the </w:t>
            </w:r>
            <w:r w:rsidR="001453BE" w:rsidRPr="00D625DA">
              <w:rPr>
                <w:rFonts w:cs="Arial"/>
              </w:rPr>
              <w:t>decision making regarding the</w:t>
            </w:r>
            <w:r w:rsidR="001453BE">
              <w:rPr>
                <w:rFonts w:cs="Arial"/>
              </w:rPr>
              <w:t>ir</w:t>
            </w:r>
            <w:r w:rsidR="001453BE" w:rsidRPr="00D625DA">
              <w:rPr>
                <w:rFonts w:cs="Arial"/>
              </w:rPr>
              <w:t xml:space="preserve"> education</w:t>
            </w:r>
            <w:r w:rsidRPr="00D625DA">
              <w:rPr>
                <w:rFonts w:cs="Arial"/>
              </w:rPr>
              <w:t>.</w:t>
            </w:r>
          </w:p>
          <w:p w:rsidR="0089465F" w:rsidRPr="00D625DA" w:rsidRDefault="0089465F" w:rsidP="00D625DA">
            <w:pPr>
              <w:rPr>
                <w:rFonts w:cs="Arial"/>
                <w:sz w:val="10"/>
                <w:szCs w:val="10"/>
              </w:rPr>
            </w:pPr>
          </w:p>
          <w:p w:rsidR="0089465F" w:rsidRPr="00CE1197" w:rsidRDefault="0089465F" w:rsidP="00404E58">
            <w:pPr>
              <w:pStyle w:val="ListParagraph"/>
              <w:numPr>
                <w:ilvl w:val="0"/>
                <w:numId w:val="5"/>
              </w:numPr>
              <w:rPr>
                <w:rFonts w:cs="Arial"/>
                <w:color w:val="000000"/>
              </w:rPr>
            </w:pPr>
            <w:r>
              <w:rPr>
                <w:rFonts w:cs="Arial"/>
              </w:rPr>
              <w:t>Assistance to ensure that the c</w:t>
            </w:r>
            <w:r w:rsidRPr="0095115F">
              <w:rPr>
                <w:rFonts w:cs="Arial"/>
              </w:rPr>
              <w:t xml:space="preserve">hild or </w:t>
            </w:r>
            <w:r>
              <w:rPr>
                <w:rFonts w:cs="Arial"/>
              </w:rPr>
              <w:t>y</w:t>
            </w:r>
            <w:r w:rsidRPr="0095115F">
              <w:rPr>
                <w:rFonts w:cs="Arial"/>
              </w:rPr>
              <w:t>outh</w:t>
            </w:r>
            <w:r>
              <w:rPr>
                <w:rFonts w:cs="Arial"/>
              </w:rPr>
              <w:t xml:space="preserve"> that is struggling academically and/or emotionally at school</w:t>
            </w:r>
            <w:r w:rsidRPr="0095115F">
              <w:rPr>
                <w:rFonts w:cs="Arial"/>
              </w:rPr>
              <w:t xml:space="preserve"> </w:t>
            </w:r>
            <w:r w:rsidRPr="00CE1197">
              <w:rPr>
                <w:rFonts w:cs="Arial"/>
              </w:rPr>
              <w:t xml:space="preserve">have a Student Study Team </w:t>
            </w:r>
            <w:r w:rsidRPr="0095115F">
              <w:rPr>
                <w:rFonts w:cs="Arial"/>
              </w:rPr>
              <w:t>(SST</w:t>
            </w:r>
            <w:r w:rsidRPr="00CE1197">
              <w:rPr>
                <w:rFonts w:cs="Arial"/>
              </w:rPr>
              <w:t xml:space="preserve">) meeting </w:t>
            </w:r>
            <w:r>
              <w:rPr>
                <w:rFonts w:cs="Arial"/>
              </w:rPr>
              <w:t>and/</w:t>
            </w:r>
            <w:r w:rsidRPr="00CE1197">
              <w:rPr>
                <w:rFonts w:cs="Arial"/>
              </w:rPr>
              <w:t xml:space="preserve">or an assessment for an </w:t>
            </w:r>
            <w:r w:rsidRPr="00E64A71">
              <w:rPr>
                <w:rFonts w:cs="Arial"/>
                <w:szCs w:val="24"/>
              </w:rPr>
              <w:t>Individualize Education Plan (IEP)</w:t>
            </w:r>
            <w:r>
              <w:rPr>
                <w:rFonts w:cs="Arial"/>
                <w:szCs w:val="24"/>
              </w:rPr>
              <w:t xml:space="preserve"> depending on the school district policy</w:t>
            </w:r>
            <w:r w:rsidRPr="00E64A71">
              <w:rPr>
                <w:rFonts w:cs="Arial"/>
              </w:rPr>
              <w:t>.</w:t>
            </w:r>
            <w:r>
              <w:rPr>
                <w:rFonts w:cs="Arial"/>
              </w:rPr>
              <w:t xml:space="preserve"> </w:t>
            </w:r>
            <w:r w:rsidRPr="0095115F">
              <w:rPr>
                <w:rFonts w:cs="Arial"/>
              </w:rPr>
              <w:t xml:space="preserve">The IEP assessment will determine </w:t>
            </w:r>
            <w:r>
              <w:rPr>
                <w:rFonts w:cs="Arial"/>
              </w:rPr>
              <w:t>whether</w:t>
            </w:r>
            <w:r w:rsidRPr="00CE1197">
              <w:rPr>
                <w:rFonts w:cs="Arial"/>
                <w:szCs w:val="24"/>
              </w:rPr>
              <w:t xml:space="preserve"> a disability </w:t>
            </w:r>
            <w:r w:rsidRPr="00B155C5">
              <w:rPr>
                <w:rFonts w:cs="Arial"/>
              </w:rPr>
              <w:t>interfere</w:t>
            </w:r>
            <w:r>
              <w:rPr>
                <w:rFonts w:cs="Arial"/>
              </w:rPr>
              <w:t>s</w:t>
            </w:r>
            <w:r w:rsidRPr="00B155C5">
              <w:rPr>
                <w:rFonts w:cs="Arial"/>
              </w:rPr>
              <w:t xml:space="preserve"> with the </w:t>
            </w:r>
            <w:r>
              <w:rPr>
                <w:rFonts w:cs="Arial"/>
              </w:rPr>
              <w:t>c</w:t>
            </w:r>
            <w:r w:rsidRPr="00B155C5">
              <w:rPr>
                <w:rFonts w:cs="Arial"/>
              </w:rPr>
              <w:t xml:space="preserve">hild or </w:t>
            </w:r>
            <w:r>
              <w:rPr>
                <w:rFonts w:cs="Arial"/>
              </w:rPr>
              <w:t>y</w:t>
            </w:r>
            <w:r w:rsidRPr="00B155C5">
              <w:rPr>
                <w:rFonts w:cs="Arial"/>
              </w:rPr>
              <w:t>outh’s</w:t>
            </w:r>
            <w:r w:rsidRPr="00B155C5">
              <w:rPr>
                <w:rFonts w:cs="Arial"/>
                <w:szCs w:val="24"/>
              </w:rPr>
              <w:t xml:space="preserve"> educational progress in order to obtain services necessary to meet </w:t>
            </w:r>
            <w:r>
              <w:rPr>
                <w:rFonts w:cs="Arial"/>
                <w:szCs w:val="24"/>
              </w:rPr>
              <w:t>his or her</w:t>
            </w:r>
            <w:r w:rsidRPr="00B155C5">
              <w:rPr>
                <w:rFonts w:cs="Arial"/>
                <w:szCs w:val="24"/>
              </w:rPr>
              <w:t xml:space="preserve"> special education needs.</w:t>
            </w:r>
            <w:r w:rsidRPr="00B155C5">
              <w:rPr>
                <w:rFonts w:cs="Arial"/>
              </w:rPr>
              <w:t xml:space="preserve"> </w:t>
            </w:r>
            <w:r w:rsidRPr="00B155C5">
              <w:rPr>
                <w:rFonts w:cs="Arial"/>
                <w:color w:val="000000"/>
              </w:rPr>
              <w:t xml:space="preserve">In the event that </w:t>
            </w:r>
            <w:r>
              <w:rPr>
                <w:rFonts w:cs="Arial"/>
                <w:color w:val="000000"/>
              </w:rPr>
              <w:t>the IEP assessment does not determine that the c</w:t>
            </w:r>
            <w:r w:rsidRPr="00B155C5">
              <w:rPr>
                <w:rFonts w:cs="Arial"/>
                <w:color w:val="000000"/>
              </w:rPr>
              <w:t xml:space="preserve">hild or </w:t>
            </w:r>
            <w:r>
              <w:rPr>
                <w:rFonts w:cs="Arial"/>
                <w:color w:val="000000"/>
              </w:rPr>
              <w:t>y</w:t>
            </w:r>
            <w:r w:rsidRPr="00B155C5">
              <w:rPr>
                <w:rFonts w:cs="Arial"/>
                <w:color w:val="000000"/>
              </w:rPr>
              <w:t>outh does qualify</w:t>
            </w:r>
            <w:r w:rsidR="00871DE5">
              <w:rPr>
                <w:rFonts w:cs="Arial"/>
                <w:color w:val="000000"/>
              </w:rPr>
              <w:t xml:space="preserve"> for special education services</w:t>
            </w:r>
            <w:r w:rsidRPr="00CE1197">
              <w:rPr>
                <w:rFonts w:cs="Arial"/>
                <w:color w:val="000000"/>
              </w:rPr>
              <w:t xml:space="preserve">, </w:t>
            </w:r>
            <w:r>
              <w:rPr>
                <w:rFonts w:cs="Arial"/>
                <w:color w:val="000000"/>
              </w:rPr>
              <w:t xml:space="preserve">a request shall be made for services under Section 504 </w:t>
            </w:r>
            <w:r w:rsidRPr="00CE1197">
              <w:rPr>
                <w:rFonts w:cs="Arial"/>
                <w:color w:val="000000"/>
              </w:rPr>
              <w:t>to determine appr</w:t>
            </w:r>
            <w:r>
              <w:rPr>
                <w:rFonts w:cs="Arial"/>
                <w:color w:val="000000"/>
              </w:rPr>
              <w:t>opriate accommodations necessary to meet the c</w:t>
            </w:r>
            <w:r w:rsidRPr="00CE1197">
              <w:rPr>
                <w:rFonts w:cs="Arial"/>
                <w:color w:val="000000"/>
              </w:rPr>
              <w:t xml:space="preserve">hild or </w:t>
            </w:r>
            <w:r>
              <w:rPr>
                <w:rFonts w:cs="Arial"/>
                <w:color w:val="000000"/>
              </w:rPr>
              <w:t>y</w:t>
            </w:r>
            <w:r w:rsidRPr="00CE1197">
              <w:rPr>
                <w:rFonts w:cs="Arial"/>
                <w:color w:val="000000"/>
              </w:rPr>
              <w:t>outh’s educational needs.</w:t>
            </w:r>
          </w:p>
          <w:p w:rsidR="0089465F" w:rsidRPr="00D625DA" w:rsidRDefault="0089465F" w:rsidP="00D625DA">
            <w:pPr>
              <w:rPr>
                <w:rFonts w:cs="Arial"/>
                <w:sz w:val="10"/>
                <w:szCs w:val="10"/>
              </w:rPr>
            </w:pPr>
          </w:p>
          <w:p w:rsidR="0089465F" w:rsidRPr="00D625DA" w:rsidRDefault="0089465F" w:rsidP="00404E58">
            <w:pPr>
              <w:pStyle w:val="ListParagraph"/>
              <w:numPr>
                <w:ilvl w:val="0"/>
                <w:numId w:val="5"/>
              </w:numPr>
              <w:rPr>
                <w:rFonts w:cs="Arial"/>
                <w:szCs w:val="24"/>
              </w:rPr>
            </w:pPr>
            <w:r>
              <w:rPr>
                <w:rFonts w:cs="Arial"/>
              </w:rPr>
              <w:t>Assistance to ensure that the c</w:t>
            </w:r>
            <w:r w:rsidRPr="00D625DA">
              <w:rPr>
                <w:rFonts w:cs="Arial"/>
              </w:rPr>
              <w:t xml:space="preserve">hild or </w:t>
            </w:r>
            <w:r>
              <w:rPr>
                <w:rFonts w:cs="Arial"/>
              </w:rPr>
              <w:t>y</w:t>
            </w:r>
            <w:r w:rsidRPr="00D625DA">
              <w:rPr>
                <w:rFonts w:cs="Arial"/>
              </w:rPr>
              <w:t xml:space="preserve">outh </w:t>
            </w:r>
            <w:r>
              <w:rPr>
                <w:rFonts w:cs="Arial"/>
              </w:rPr>
              <w:t>has</w:t>
            </w:r>
            <w:r w:rsidRPr="00D625DA">
              <w:rPr>
                <w:rFonts w:cs="Arial"/>
                <w:szCs w:val="24"/>
              </w:rPr>
              <w:t xml:space="preserve"> the right to a school liaison</w:t>
            </w:r>
            <w:r>
              <w:rPr>
                <w:rFonts w:cs="Arial"/>
                <w:szCs w:val="24"/>
              </w:rPr>
              <w:t xml:space="preserve"> is upheld</w:t>
            </w:r>
            <w:r w:rsidRPr="00D625DA">
              <w:rPr>
                <w:rFonts w:cs="Arial"/>
              </w:rPr>
              <w:t>, if available through the Foster Youth Services (FYS) or other services</w:t>
            </w:r>
            <w:r w:rsidRPr="00D625DA">
              <w:rPr>
                <w:rFonts w:cs="Arial"/>
                <w:szCs w:val="24"/>
              </w:rPr>
              <w:t>.</w:t>
            </w:r>
          </w:p>
          <w:p w:rsidR="0089465F" w:rsidRPr="00D625DA" w:rsidRDefault="0089465F" w:rsidP="00D625DA">
            <w:pPr>
              <w:rPr>
                <w:rFonts w:cs="Arial"/>
                <w:sz w:val="10"/>
                <w:szCs w:val="10"/>
              </w:rPr>
            </w:pPr>
          </w:p>
          <w:p w:rsidR="0089465F" w:rsidRPr="00D625DA" w:rsidRDefault="0089465F" w:rsidP="00404E58">
            <w:pPr>
              <w:pStyle w:val="ListParagraph"/>
              <w:numPr>
                <w:ilvl w:val="0"/>
                <w:numId w:val="5"/>
              </w:numPr>
              <w:rPr>
                <w:rFonts w:cs="Arial"/>
                <w:szCs w:val="24"/>
              </w:rPr>
            </w:pPr>
            <w:r>
              <w:rPr>
                <w:rFonts w:cs="Arial"/>
                <w:szCs w:val="24"/>
              </w:rPr>
              <w:t>Supporting the c</w:t>
            </w:r>
            <w:r w:rsidRPr="00D625DA">
              <w:rPr>
                <w:rFonts w:cs="Arial"/>
                <w:szCs w:val="24"/>
              </w:rPr>
              <w:t xml:space="preserve">hild or </w:t>
            </w:r>
            <w:r>
              <w:rPr>
                <w:rFonts w:cs="Arial"/>
                <w:szCs w:val="24"/>
              </w:rPr>
              <w:t>y</w:t>
            </w:r>
            <w:r w:rsidRPr="00D625DA">
              <w:rPr>
                <w:rFonts w:cs="Arial"/>
                <w:szCs w:val="24"/>
              </w:rPr>
              <w:t xml:space="preserve">outh </w:t>
            </w:r>
            <w:r>
              <w:rPr>
                <w:rFonts w:cs="Arial"/>
                <w:szCs w:val="24"/>
              </w:rPr>
              <w:t>in</w:t>
            </w:r>
            <w:r w:rsidRPr="00D625DA">
              <w:rPr>
                <w:rFonts w:cs="Arial"/>
                <w:szCs w:val="24"/>
              </w:rPr>
              <w:t xml:space="preserve"> completing required homework</w:t>
            </w:r>
            <w:r>
              <w:rPr>
                <w:rFonts w:cs="Arial"/>
                <w:szCs w:val="24"/>
              </w:rPr>
              <w:t>,</w:t>
            </w:r>
            <w:r w:rsidRPr="00D625DA">
              <w:rPr>
                <w:rFonts w:cs="Arial"/>
                <w:szCs w:val="24"/>
              </w:rPr>
              <w:t xml:space="preserve"> and </w:t>
            </w:r>
            <w:r>
              <w:rPr>
                <w:rFonts w:cs="Arial"/>
                <w:szCs w:val="24"/>
              </w:rPr>
              <w:t xml:space="preserve">if appropriate, </w:t>
            </w:r>
            <w:r w:rsidRPr="00D625DA">
              <w:rPr>
                <w:rFonts w:cs="Arial"/>
                <w:szCs w:val="24"/>
              </w:rPr>
              <w:t xml:space="preserve">tutoring to assist in </w:t>
            </w:r>
            <w:r>
              <w:rPr>
                <w:rFonts w:cs="Arial"/>
                <w:szCs w:val="24"/>
              </w:rPr>
              <w:t xml:space="preserve">meeting </w:t>
            </w:r>
            <w:r w:rsidRPr="00D625DA">
              <w:rPr>
                <w:rFonts w:cs="Arial"/>
                <w:szCs w:val="24"/>
              </w:rPr>
              <w:t xml:space="preserve">academic requirements </w:t>
            </w:r>
            <w:r>
              <w:rPr>
                <w:rFonts w:cs="Arial"/>
                <w:szCs w:val="24"/>
              </w:rPr>
              <w:t xml:space="preserve">through FYS and/or </w:t>
            </w:r>
            <w:r w:rsidR="00871DE5">
              <w:rPr>
                <w:rFonts w:cs="Arial"/>
                <w:szCs w:val="24"/>
              </w:rPr>
              <w:t>other</w:t>
            </w:r>
            <w:r w:rsidRPr="00D625DA">
              <w:rPr>
                <w:rFonts w:cs="Arial"/>
                <w:szCs w:val="24"/>
              </w:rPr>
              <w:t xml:space="preserve"> ser</w:t>
            </w:r>
            <w:r>
              <w:rPr>
                <w:rFonts w:cs="Arial"/>
                <w:szCs w:val="24"/>
              </w:rPr>
              <w:t>vices</w:t>
            </w:r>
            <w:r w:rsidRPr="00D625DA">
              <w:rPr>
                <w:rFonts w:cs="Arial"/>
                <w:szCs w:val="24"/>
              </w:rPr>
              <w:t xml:space="preserve">. </w:t>
            </w:r>
          </w:p>
          <w:p w:rsidR="0089465F" w:rsidRPr="00D625DA" w:rsidRDefault="0089465F" w:rsidP="00D625DA">
            <w:pPr>
              <w:rPr>
                <w:rFonts w:cs="Arial"/>
                <w:sz w:val="10"/>
                <w:szCs w:val="10"/>
              </w:rPr>
            </w:pPr>
          </w:p>
          <w:p w:rsidR="0089465F" w:rsidRDefault="0089465F" w:rsidP="00404E58">
            <w:pPr>
              <w:pStyle w:val="ListParagraph"/>
              <w:numPr>
                <w:ilvl w:val="0"/>
                <w:numId w:val="5"/>
              </w:numPr>
              <w:rPr>
                <w:rFonts w:cs="Arial"/>
                <w:szCs w:val="24"/>
              </w:rPr>
            </w:pPr>
            <w:r>
              <w:rPr>
                <w:rFonts w:cs="Arial"/>
                <w:szCs w:val="24"/>
              </w:rPr>
              <w:t>Assistance to ensure the y</w:t>
            </w:r>
            <w:r w:rsidRPr="00D625DA">
              <w:rPr>
                <w:rFonts w:cs="Arial"/>
                <w:szCs w:val="24"/>
              </w:rPr>
              <w:t xml:space="preserve">outh </w:t>
            </w:r>
            <w:r>
              <w:rPr>
                <w:rFonts w:cs="Arial"/>
                <w:szCs w:val="24"/>
              </w:rPr>
              <w:t>with</w:t>
            </w:r>
            <w:r w:rsidRPr="00D625DA">
              <w:rPr>
                <w:rFonts w:cs="Arial"/>
                <w:szCs w:val="24"/>
              </w:rPr>
              <w:t xml:space="preserve"> </w:t>
            </w:r>
            <w:r>
              <w:rPr>
                <w:rFonts w:cs="Arial"/>
                <w:szCs w:val="24"/>
              </w:rPr>
              <w:t xml:space="preserve">vocational and/or </w:t>
            </w:r>
            <w:r w:rsidRPr="00D625DA">
              <w:rPr>
                <w:rFonts w:cs="Arial"/>
                <w:szCs w:val="24"/>
              </w:rPr>
              <w:t xml:space="preserve">college preparatory </w:t>
            </w:r>
            <w:r>
              <w:rPr>
                <w:rFonts w:cs="Arial"/>
                <w:szCs w:val="24"/>
              </w:rPr>
              <w:t xml:space="preserve">tasks </w:t>
            </w:r>
            <w:r w:rsidRPr="00D625DA">
              <w:rPr>
                <w:rFonts w:cs="Arial"/>
                <w:szCs w:val="24"/>
              </w:rPr>
              <w:t xml:space="preserve">including </w:t>
            </w:r>
            <w:r>
              <w:rPr>
                <w:rFonts w:cs="Arial"/>
                <w:szCs w:val="24"/>
              </w:rPr>
              <w:t>completing admissions</w:t>
            </w:r>
            <w:r w:rsidRPr="00D625DA">
              <w:rPr>
                <w:rFonts w:cs="Arial"/>
                <w:szCs w:val="24"/>
              </w:rPr>
              <w:t xml:space="preserve"> and financial aid applications through FYS, ILP, and/or </w:t>
            </w:r>
            <w:r w:rsidR="00871DE5">
              <w:rPr>
                <w:rFonts w:cs="Arial"/>
                <w:szCs w:val="24"/>
              </w:rPr>
              <w:t>other</w:t>
            </w:r>
            <w:r w:rsidRPr="00D625DA">
              <w:rPr>
                <w:rFonts w:cs="Arial"/>
                <w:szCs w:val="24"/>
              </w:rPr>
              <w:t xml:space="preserve"> services.</w:t>
            </w:r>
          </w:p>
          <w:p w:rsidR="0089465F" w:rsidRPr="005E2F54" w:rsidRDefault="0089465F" w:rsidP="007F18E2">
            <w:pPr>
              <w:pStyle w:val="ListParagraph"/>
              <w:rPr>
                <w:rFonts w:cs="Arial"/>
                <w:sz w:val="10"/>
                <w:szCs w:val="10"/>
              </w:rPr>
            </w:pPr>
          </w:p>
          <w:p w:rsidR="00474D99" w:rsidRDefault="00474D99" w:rsidP="00404E58">
            <w:pPr>
              <w:pStyle w:val="ListParagraph"/>
              <w:numPr>
                <w:ilvl w:val="0"/>
                <w:numId w:val="5"/>
              </w:numPr>
              <w:rPr>
                <w:rFonts w:cs="Arial"/>
                <w:szCs w:val="24"/>
              </w:rPr>
            </w:pPr>
            <w:r>
              <w:rPr>
                <w:rFonts w:cs="Arial"/>
                <w:szCs w:val="24"/>
              </w:rPr>
              <w:t xml:space="preserve">Assistance to ensure child or youth have support and advocacy with respect to prompt and culturally-sensitive </w:t>
            </w:r>
            <w:r>
              <w:rPr>
                <w:rFonts w:cs="Arial"/>
                <w:szCs w:val="24"/>
              </w:rPr>
              <w:lastRenderedPageBreak/>
              <w:t xml:space="preserve">intervention when being bullied for any reason such as physical </w:t>
            </w:r>
            <w:r w:rsidR="00C17A71">
              <w:rPr>
                <w:rFonts w:cs="Arial"/>
                <w:szCs w:val="24"/>
              </w:rPr>
              <w:t>characteristics</w:t>
            </w:r>
            <w:r>
              <w:rPr>
                <w:rFonts w:cs="Arial"/>
                <w:szCs w:val="24"/>
              </w:rPr>
              <w:t xml:space="preserve">, foster care status, </w:t>
            </w:r>
            <w:r w:rsidR="003D4F76">
              <w:rPr>
                <w:rFonts w:cs="Arial"/>
                <w:szCs w:val="24"/>
              </w:rPr>
              <w:t>sexual orientation gender identify expression (</w:t>
            </w:r>
            <w:r>
              <w:rPr>
                <w:rFonts w:cs="Arial"/>
                <w:szCs w:val="24"/>
              </w:rPr>
              <w:t>SOGIE</w:t>
            </w:r>
            <w:r w:rsidR="003D4F76">
              <w:rPr>
                <w:rFonts w:cs="Arial"/>
                <w:szCs w:val="24"/>
              </w:rPr>
              <w:t>)</w:t>
            </w:r>
            <w:r>
              <w:rPr>
                <w:rFonts w:cs="Arial"/>
                <w:szCs w:val="24"/>
              </w:rPr>
              <w:t>, race/ethnicity, or age.</w:t>
            </w:r>
          </w:p>
          <w:p w:rsidR="00474D99" w:rsidRPr="00C17A71" w:rsidRDefault="00474D99" w:rsidP="00C17A71">
            <w:pPr>
              <w:pStyle w:val="ListParagraph"/>
              <w:rPr>
                <w:rFonts w:cs="Arial"/>
                <w:sz w:val="10"/>
                <w:szCs w:val="10"/>
              </w:rPr>
            </w:pPr>
          </w:p>
          <w:p w:rsidR="0089465F" w:rsidRDefault="0089465F" w:rsidP="00404E58">
            <w:pPr>
              <w:pStyle w:val="ListParagraph"/>
              <w:numPr>
                <w:ilvl w:val="0"/>
                <w:numId w:val="5"/>
              </w:numPr>
              <w:rPr>
                <w:rFonts w:cs="Arial"/>
                <w:szCs w:val="24"/>
              </w:rPr>
            </w:pPr>
            <w:r>
              <w:rPr>
                <w:rFonts w:cs="Arial"/>
                <w:szCs w:val="24"/>
              </w:rPr>
              <w:t>Assistance to ensure child or youth access to the appropriate Regional Center if the child or youth has a qualifying developmental disability.</w:t>
            </w:r>
          </w:p>
          <w:p w:rsidR="0089465F" w:rsidRPr="005E2F54" w:rsidRDefault="0089465F" w:rsidP="007F18E2">
            <w:pPr>
              <w:pStyle w:val="ListParagraph"/>
              <w:rPr>
                <w:rFonts w:cs="Arial"/>
                <w:sz w:val="10"/>
                <w:szCs w:val="10"/>
              </w:rPr>
            </w:pPr>
          </w:p>
          <w:p w:rsidR="0089465F" w:rsidRDefault="0089465F" w:rsidP="00404E58">
            <w:pPr>
              <w:pStyle w:val="ListParagraph"/>
              <w:numPr>
                <w:ilvl w:val="0"/>
                <w:numId w:val="5"/>
              </w:numPr>
              <w:rPr>
                <w:rFonts w:cs="Arial"/>
                <w:szCs w:val="24"/>
              </w:rPr>
            </w:pPr>
            <w:r>
              <w:rPr>
                <w:rFonts w:cs="Arial"/>
                <w:szCs w:val="24"/>
              </w:rPr>
              <w:t xml:space="preserve">Supporting youth or </w:t>
            </w:r>
            <w:proofErr w:type="spellStart"/>
            <w:r w:rsidR="000959F3">
              <w:rPr>
                <w:rFonts w:cs="Arial"/>
                <w:szCs w:val="24"/>
              </w:rPr>
              <w:t>n</w:t>
            </w:r>
            <w:r>
              <w:rPr>
                <w:rFonts w:cs="Arial"/>
                <w:szCs w:val="24"/>
              </w:rPr>
              <w:t>onminor</w:t>
            </w:r>
            <w:proofErr w:type="spellEnd"/>
            <w:r>
              <w:rPr>
                <w:rFonts w:cs="Arial"/>
                <w:szCs w:val="24"/>
              </w:rPr>
              <w:t xml:space="preserve"> </w:t>
            </w:r>
            <w:r w:rsidR="000959F3">
              <w:rPr>
                <w:rFonts w:cs="Arial"/>
                <w:szCs w:val="24"/>
              </w:rPr>
              <w:t>d</w:t>
            </w:r>
            <w:r>
              <w:rPr>
                <w:rFonts w:cs="Arial"/>
                <w:szCs w:val="24"/>
              </w:rPr>
              <w:t>ependent in identifying themselves as a foster youth to their attending or college of choice; assistance in obtaining college fee waivers and grants or other financial assistance; and employment assistance.</w:t>
            </w:r>
          </w:p>
          <w:p w:rsidR="0089465F" w:rsidRPr="00D0357C" w:rsidRDefault="0089465F" w:rsidP="00D0357C">
            <w:pPr>
              <w:pStyle w:val="ListParagraph"/>
              <w:rPr>
                <w:rFonts w:cs="Arial"/>
                <w:sz w:val="10"/>
                <w:szCs w:val="10"/>
              </w:rPr>
            </w:pPr>
          </w:p>
          <w:p w:rsidR="0089465F" w:rsidRDefault="0089465F" w:rsidP="00404E58">
            <w:pPr>
              <w:pStyle w:val="ListParagraph"/>
              <w:numPr>
                <w:ilvl w:val="0"/>
                <w:numId w:val="5"/>
              </w:numPr>
              <w:rPr>
                <w:rFonts w:cs="Arial"/>
                <w:szCs w:val="24"/>
              </w:rPr>
            </w:pPr>
            <w:r>
              <w:rPr>
                <w:rFonts w:cs="Arial"/>
                <w:szCs w:val="24"/>
              </w:rPr>
              <w:t xml:space="preserve">Assistance to ensure within 30 days of entering the foster care system, the child or youth has obtained a health screening and </w:t>
            </w:r>
            <w:r w:rsidR="00871DE5">
              <w:rPr>
                <w:rFonts w:cs="Arial"/>
                <w:szCs w:val="24"/>
              </w:rPr>
              <w:t xml:space="preserve">their </w:t>
            </w:r>
            <w:r>
              <w:rPr>
                <w:rFonts w:cs="Arial"/>
                <w:szCs w:val="24"/>
              </w:rPr>
              <w:t>health records.</w:t>
            </w:r>
          </w:p>
          <w:p w:rsidR="0089465F" w:rsidRPr="00D0357C" w:rsidRDefault="0089465F" w:rsidP="00D0357C">
            <w:pPr>
              <w:pStyle w:val="ListParagraph"/>
              <w:rPr>
                <w:rFonts w:cs="Arial"/>
                <w:sz w:val="10"/>
                <w:szCs w:val="10"/>
              </w:rPr>
            </w:pPr>
          </w:p>
          <w:p w:rsidR="0089465F" w:rsidRDefault="0089465F" w:rsidP="00404E58">
            <w:pPr>
              <w:pStyle w:val="ListParagraph"/>
              <w:numPr>
                <w:ilvl w:val="0"/>
                <w:numId w:val="5"/>
              </w:numPr>
              <w:rPr>
                <w:rFonts w:cs="Arial"/>
                <w:szCs w:val="24"/>
              </w:rPr>
            </w:pPr>
            <w:r>
              <w:rPr>
                <w:rFonts w:cs="Arial"/>
                <w:szCs w:val="24"/>
              </w:rPr>
              <w:t>Assistance to ensure child or youth has routine well check-ups and immunizations consistent with the public health recommended timelines.</w:t>
            </w:r>
          </w:p>
          <w:p w:rsidR="0089465F" w:rsidRPr="00D0357C" w:rsidRDefault="0089465F" w:rsidP="00D0357C">
            <w:pPr>
              <w:pStyle w:val="ListParagraph"/>
              <w:rPr>
                <w:rFonts w:cs="Arial"/>
                <w:sz w:val="10"/>
                <w:szCs w:val="10"/>
              </w:rPr>
            </w:pPr>
          </w:p>
          <w:p w:rsidR="0089465F" w:rsidRDefault="0089465F" w:rsidP="00404E58">
            <w:pPr>
              <w:pStyle w:val="ListParagraph"/>
              <w:numPr>
                <w:ilvl w:val="0"/>
                <w:numId w:val="5"/>
              </w:numPr>
              <w:rPr>
                <w:rFonts w:cs="Arial"/>
                <w:szCs w:val="24"/>
              </w:rPr>
            </w:pPr>
            <w:r>
              <w:rPr>
                <w:rFonts w:cs="Arial"/>
                <w:szCs w:val="24"/>
              </w:rPr>
              <w:t>Assistance to ensure child or youth has appropriate medical care for illnesses, including long-term or chronic conditions, and administration of prescribed and over-the-counter medication.</w:t>
            </w:r>
          </w:p>
          <w:p w:rsidR="0089465F" w:rsidRPr="00D0357C" w:rsidRDefault="0089465F" w:rsidP="00D0357C">
            <w:pPr>
              <w:pStyle w:val="ListParagraph"/>
              <w:rPr>
                <w:rFonts w:cs="Arial"/>
                <w:sz w:val="10"/>
                <w:szCs w:val="10"/>
              </w:rPr>
            </w:pPr>
          </w:p>
          <w:p w:rsidR="0089465F" w:rsidRDefault="0089465F" w:rsidP="00404E58">
            <w:pPr>
              <w:pStyle w:val="ListParagraph"/>
              <w:numPr>
                <w:ilvl w:val="0"/>
                <w:numId w:val="5"/>
              </w:numPr>
              <w:rPr>
                <w:rFonts w:cs="Arial"/>
                <w:szCs w:val="24"/>
              </w:rPr>
            </w:pPr>
            <w:r>
              <w:rPr>
                <w:rFonts w:cs="Arial"/>
                <w:szCs w:val="24"/>
              </w:rPr>
              <w:t>Assistance to ensure child or youth has access to a nutritious diet which may include accommodations for religious/cultural and/or dietary needs and/or restrictions.</w:t>
            </w:r>
          </w:p>
          <w:p w:rsidR="0089465F" w:rsidRPr="00256A13" w:rsidRDefault="0089465F" w:rsidP="00256A13">
            <w:pPr>
              <w:pStyle w:val="ListParagraph"/>
              <w:rPr>
                <w:rFonts w:cs="Arial"/>
                <w:sz w:val="10"/>
                <w:szCs w:val="10"/>
              </w:rPr>
            </w:pPr>
          </w:p>
          <w:p w:rsidR="0089465F" w:rsidRDefault="0089465F" w:rsidP="00404E58">
            <w:pPr>
              <w:pStyle w:val="ListParagraph"/>
              <w:numPr>
                <w:ilvl w:val="0"/>
                <w:numId w:val="5"/>
              </w:numPr>
            </w:pPr>
            <w:r>
              <w:t>Assistance to ensure child or youth receive i</w:t>
            </w:r>
            <w:r w:rsidRPr="00C452AD">
              <w:t xml:space="preserve">nteractive </w:t>
            </w:r>
            <w:r>
              <w:t>l</w:t>
            </w:r>
            <w:r w:rsidRPr="00C452AD">
              <w:t xml:space="preserve">ife </w:t>
            </w:r>
            <w:r>
              <w:t>s</w:t>
            </w:r>
            <w:r w:rsidRPr="00C452AD">
              <w:t>kills</w:t>
            </w:r>
            <w:r>
              <w:t xml:space="preserve"> </w:t>
            </w:r>
            <w:r w:rsidRPr="00A64309">
              <w:rPr>
                <w:rFonts w:cs="Arial"/>
              </w:rPr>
              <w:t>(in age appropriate terms and ability)</w:t>
            </w:r>
            <w:r w:rsidRPr="00C452AD">
              <w:t xml:space="preserve"> training</w:t>
            </w:r>
            <w:r>
              <w:t xml:space="preserve"> that includes but is not limited to: mentoring; pregnancy and parenting support; information/instruction on sexual exploitation, domestic violence, substance abuse, and intimate relationships; cooking; financial management; safety planning; time management; driving competency training; usage of public transportation; credit reporting; information on THP &amp; FC providers; and essential documents such as Identification Cards in the form of a California Driver’s License and/or Identification Card, Social Security Card, or medical card. </w:t>
            </w:r>
          </w:p>
          <w:p w:rsidR="0089465F" w:rsidRPr="002B1B3A" w:rsidRDefault="0089465F" w:rsidP="002B1B3A">
            <w:pPr>
              <w:pStyle w:val="ListParagraph"/>
              <w:rPr>
                <w:sz w:val="10"/>
                <w:szCs w:val="10"/>
              </w:rPr>
            </w:pPr>
          </w:p>
          <w:p w:rsidR="0089465F" w:rsidRPr="002B1B3A" w:rsidRDefault="0089465F" w:rsidP="002B1B3A">
            <w:pPr>
              <w:pStyle w:val="ListParagraph"/>
              <w:numPr>
                <w:ilvl w:val="0"/>
                <w:numId w:val="5"/>
              </w:numPr>
            </w:pPr>
            <w:r>
              <w:rPr>
                <w:rFonts w:cs="Arial"/>
              </w:rPr>
              <w:t>Etcetera</w:t>
            </w:r>
          </w:p>
        </w:tc>
      </w:tr>
    </w:tbl>
    <w:p w:rsidR="001E1E1D" w:rsidRDefault="001E1E1D">
      <w:r>
        <w:lastRenderedPageBreak/>
        <w:br w:type="page"/>
      </w:r>
    </w:p>
    <w:tbl>
      <w:tblPr>
        <w:tblStyle w:val="TableGrid"/>
        <w:tblW w:w="4993" w:type="pct"/>
        <w:tblLook w:val="04A0" w:firstRow="1" w:lastRow="0" w:firstColumn="1" w:lastColumn="0" w:noHBand="0" w:noVBand="1"/>
      </w:tblPr>
      <w:tblGrid>
        <w:gridCol w:w="13158"/>
      </w:tblGrid>
      <w:tr w:rsidR="0089465F" w:rsidRPr="002C21F5" w:rsidTr="002B1B3A">
        <w:trPr>
          <w:trHeight w:val="615"/>
        </w:trPr>
        <w:tc>
          <w:tcPr>
            <w:tcW w:w="5000" w:type="pct"/>
            <w:vAlign w:val="center"/>
          </w:tcPr>
          <w:p w:rsidR="0089465F" w:rsidRPr="00C17A71" w:rsidRDefault="0089465F" w:rsidP="00962FA3">
            <w:pPr>
              <w:pStyle w:val="Default"/>
              <w:rPr>
                <w:rFonts w:ascii="Arial" w:hAnsi="Arial" w:cs="Arial"/>
                <w:b/>
              </w:rPr>
            </w:pPr>
            <w:r w:rsidRPr="00C17A71">
              <w:rPr>
                <w:rFonts w:ascii="Arial" w:hAnsi="Arial" w:cs="Arial"/>
                <w:b/>
              </w:rPr>
              <w:lastRenderedPageBreak/>
              <w:t xml:space="preserve">(D) Transition to Adulthood Support </w:t>
            </w:r>
            <w:r w:rsidR="00BA2DEE" w:rsidRPr="00C17A71">
              <w:rPr>
                <w:rFonts w:ascii="Arial" w:hAnsi="Arial" w:cs="Arial"/>
                <w:b/>
              </w:rPr>
              <w:t xml:space="preserve">refers to “activities designed to support transition-age youth and </w:t>
            </w:r>
            <w:proofErr w:type="spellStart"/>
            <w:r w:rsidR="00BA2DEE" w:rsidRPr="00C17A71">
              <w:rPr>
                <w:rFonts w:ascii="Arial" w:hAnsi="Arial" w:cs="Arial"/>
                <w:b/>
              </w:rPr>
              <w:t>nonminor</w:t>
            </w:r>
            <w:proofErr w:type="spellEnd"/>
            <w:r w:rsidR="00BA2DEE" w:rsidRPr="00C17A71">
              <w:rPr>
                <w:rFonts w:ascii="Arial" w:hAnsi="Arial" w:cs="Arial"/>
                <w:b/>
              </w:rPr>
              <w:t xml:space="preserve"> dependents in achieving a successful adulthood” </w:t>
            </w:r>
            <w:r w:rsidRPr="00C17A71">
              <w:rPr>
                <w:rFonts w:ascii="Arial" w:hAnsi="Arial" w:cs="Arial"/>
                <w:b/>
              </w:rPr>
              <w:t>include, but are not limited to:</w:t>
            </w:r>
          </w:p>
        </w:tc>
      </w:tr>
      <w:tr w:rsidR="0089465F" w:rsidRPr="002C21F5" w:rsidTr="002B1B3A">
        <w:trPr>
          <w:trHeight w:val="890"/>
        </w:trPr>
        <w:tc>
          <w:tcPr>
            <w:tcW w:w="5000" w:type="pct"/>
          </w:tcPr>
          <w:p w:rsidR="0089465F" w:rsidRDefault="0089465F" w:rsidP="00871DE5">
            <w:pPr>
              <w:pStyle w:val="ListParagraph"/>
              <w:numPr>
                <w:ilvl w:val="0"/>
                <w:numId w:val="33"/>
              </w:numPr>
              <w:ind w:left="360"/>
            </w:pPr>
            <w:r w:rsidRPr="00C452AD">
              <w:t xml:space="preserve">Interactive </w:t>
            </w:r>
            <w:r>
              <w:t>l</w:t>
            </w:r>
            <w:r w:rsidRPr="00C452AD">
              <w:t xml:space="preserve">ife </w:t>
            </w:r>
            <w:r>
              <w:t>s</w:t>
            </w:r>
            <w:r w:rsidRPr="00C452AD">
              <w:t>kills training</w:t>
            </w:r>
            <w:r>
              <w:t>, if not received prior to emancipating, that includes but is not limited to: mentoring; pregnancy and parenting support; information/instruction on sexual exploitation, domestic violence, substance abuse, and intimate relationships</w:t>
            </w:r>
            <w:r w:rsidR="009E22A8">
              <w:t xml:space="preserve"> (both same-sex and heterosexual)</w:t>
            </w:r>
            <w:r>
              <w:t xml:space="preserve">; cooking; financial management; safety planning; time management; driving competency training; usage of public transportation; credit reporting; information on </w:t>
            </w:r>
            <w:r w:rsidR="00871DE5" w:rsidRPr="00871DE5">
              <w:t xml:space="preserve">Transitional Housing Placement-Plus-Foster Care </w:t>
            </w:r>
            <w:r w:rsidR="00871DE5">
              <w:t>(THP+</w:t>
            </w:r>
            <w:r>
              <w:t>FC</w:t>
            </w:r>
            <w:r w:rsidR="00871DE5">
              <w:t>)</w:t>
            </w:r>
            <w:r>
              <w:t xml:space="preserve">; and essential documents such as identification cards in the form of a California Driver’s License and/or Identification Card, Social Security Card, or medical card. </w:t>
            </w:r>
          </w:p>
          <w:p w:rsidR="0089465F" w:rsidRPr="00A462FE" w:rsidRDefault="0089465F" w:rsidP="00A462FE">
            <w:pPr>
              <w:pStyle w:val="ListParagraph"/>
              <w:ind w:left="0"/>
              <w:rPr>
                <w:sz w:val="10"/>
                <w:szCs w:val="10"/>
              </w:rPr>
            </w:pPr>
          </w:p>
          <w:p w:rsidR="0089465F" w:rsidRDefault="0089465F" w:rsidP="00A462FE">
            <w:pPr>
              <w:pStyle w:val="ListParagraph"/>
              <w:numPr>
                <w:ilvl w:val="0"/>
                <w:numId w:val="12"/>
              </w:numPr>
              <w:ind w:left="360"/>
            </w:pPr>
            <w:r w:rsidRPr="00DE5867">
              <w:t xml:space="preserve">Lifelong </w:t>
            </w:r>
            <w:r>
              <w:t>c</w:t>
            </w:r>
            <w:r w:rsidRPr="00DE5867">
              <w:t>onnections</w:t>
            </w:r>
            <w:r>
              <w:t xml:space="preserve"> support to search and connect with biological or nonrelated family members; assistance in managing relationships such as dealing with intimate relationships and sexuality</w:t>
            </w:r>
            <w:r w:rsidR="009E22A8">
              <w:t xml:space="preserve"> (both same-sex and heterosexual)</w:t>
            </w:r>
            <w:r>
              <w:t>; and mentoring and coaching to support the transition to adulthood.</w:t>
            </w:r>
          </w:p>
          <w:p w:rsidR="0089465F" w:rsidRPr="00200B8D" w:rsidRDefault="0089465F" w:rsidP="00200B8D">
            <w:pPr>
              <w:pStyle w:val="ListParagraph"/>
              <w:ind w:left="360"/>
              <w:rPr>
                <w:sz w:val="10"/>
                <w:szCs w:val="10"/>
              </w:rPr>
            </w:pPr>
          </w:p>
          <w:p w:rsidR="0089465F" w:rsidRDefault="0089465F" w:rsidP="00A462FE">
            <w:pPr>
              <w:pStyle w:val="ListParagraph"/>
              <w:numPr>
                <w:ilvl w:val="0"/>
                <w:numId w:val="12"/>
              </w:numPr>
              <w:ind w:left="360"/>
            </w:pPr>
            <w:r w:rsidRPr="00DE5867">
              <w:t xml:space="preserve">Educational </w:t>
            </w:r>
            <w:r>
              <w:t>s</w:t>
            </w:r>
            <w:r w:rsidRPr="00DE5867">
              <w:t>upport</w:t>
            </w:r>
            <w:r>
              <w:t xml:space="preserve"> to access educational services; basic computer literacy and computer equipment; support in application, selection, and visits to potential vocational colleges and/or private/public universities; and access to internships for skill building opportunities.</w:t>
            </w:r>
          </w:p>
          <w:p w:rsidR="0089465F" w:rsidRPr="00A462FE" w:rsidRDefault="0089465F" w:rsidP="00A462FE">
            <w:pPr>
              <w:pStyle w:val="ListParagraph"/>
              <w:ind w:left="0"/>
              <w:rPr>
                <w:sz w:val="10"/>
                <w:szCs w:val="10"/>
              </w:rPr>
            </w:pPr>
          </w:p>
          <w:p w:rsidR="0089465F" w:rsidRDefault="0089465F" w:rsidP="00996C07">
            <w:pPr>
              <w:pStyle w:val="ListParagraph"/>
              <w:numPr>
                <w:ilvl w:val="0"/>
                <w:numId w:val="12"/>
              </w:numPr>
              <w:ind w:left="360"/>
            </w:pPr>
            <w:r>
              <w:t>Employment s</w:t>
            </w:r>
            <w:r w:rsidRPr="00DE5867">
              <w:t>upport</w:t>
            </w:r>
            <w:r>
              <w:t xml:space="preserve"> and opportunities for increasing self-esteem through participation in extracurricular activities that promote team work and a sense of self-efficacy; support in completing job applications, job searching, and interviewing processes; and developing negotiating skills.</w:t>
            </w:r>
          </w:p>
          <w:p w:rsidR="0089465F" w:rsidRPr="002B1B3A" w:rsidRDefault="0089465F" w:rsidP="002B1B3A">
            <w:pPr>
              <w:rPr>
                <w:sz w:val="10"/>
                <w:szCs w:val="10"/>
              </w:rPr>
            </w:pPr>
          </w:p>
          <w:p w:rsidR="0089465F" w:rsidRDefault="0089465F" w:rsidP="002B1B3A">
            <w:pPr>
              <w:pStyle w:val="ListParagraph"/>
              <w:numPr>
                <w:ilvl w:val="0"/>
                <w:numId w:val="12"/>
              </w:numPr>
              <w:ind w:left="360"/>
            </w:pPr>
            <w:r>
              <w:t>Case management and support through scheduled transition meetings with new providers and/or case managers during transition planning conferences (</w:t>
            </w:r>
            <w:r w:rsidRPr="007E1C0C">
              <w:t>Transitional Independent Living Plan</w:t>
            </w:r>
            <w:r w:rsidR="00871DE5">
              <w:t xml:space="preserve"> [TILP]</w:t>
            </w:r>
            <w:r>
              <w:t xml:space="preserve">, </w:t>
            </w:r>
            <w:r w:rsidRPr="007E1C0C">
              <w:t>Supportive Transiti</w:t>
            </w:r>
            <w:r>
              <w:t>onal Emancipation Program</w:t>
            </w:r>
            <w:r w:rsidR="00871DE5">
              <w:t xml:space="preserve"> [STEP]</w:t>
            </w:r>
            <w:r>
              <w:t>) and transition to adult services or essential services such as California Children’s Services</w:t>
            </w:r>
            <w:r w:rsidR="003154D9">
              <w:t xml:space="preserve"> (CCS)</w:t>
            </w:r>
            <w:r>
              <w:t xml:space="preserve">. </w:t>
            </w:r>
          </w:p>
          <w:p w:rsidR="0089465F" w:rsidRPr="00A462FE" w:rsidRDefault="0089465F" w:rsidP="00A462FE">
            <w:pPr>
              <w:pStyle w:val="ListParagraph"/>
              <w:ind w:left="0"/>
              <w:rPr>
                <w:sz w:val="10"/>
                <w:szCs w:val="10"/>
              </w:rPr>
            </w:pPr>
          </w:p>
          <w:p w:rsidR="0089465F" w:rsidRDefault="0089465F" w:rsidP="00A462FE">
            <w:pPr>
              <w:pStyle w:val="ListParagraph"/>
              <w:numPr>
                <w:ilvl w:val="0"/>
                <w:numId w:val="12"/>
              </w:numPr>
              <w:ind w:left="360"/>
            </w:pPr>
            <w:r w:rsidRPr="00DE5867">
              <w:t xml:space="preserve">Housing </w:t>
            </w:r>
            <w:r>
              <w:t>a</w:t>
            </w:r>
            <w:r w:rsidRPr="00DE5867">
              <w:t>ssistance</w:t>
            </w:r>
            <w:r>
              <w:t xml:space="preserve"> to secure housing such as information about THP and information about available housing funding options.</w:t>
            </w:r>
          </w:p>
          <w:p w:rsidR="0089465F" w:rsidRPr="00A462FE" w:rsidRDefault="0089465F" w:rsidP="00A462FE">
            <w:pPr>
              <w:rPr>
                <w:sz w:val="10"/>
                <w:szCs w:val="10"/>
              </w:rPr>
            </w:pPr>
          </w:p>
          <w:p w:rsidR="0089465F" w:rsidRDefault="0089465F" w:rsidP="0043317F">
            <w:pPr>
              <w:pStyle w:val="ListParagraph"/>
              <w:numPr>
                <w:ilvl w:val="0"/>
                <w:numId w:val="12"/>
              </w:numPr>
              <w:ind w:left="360"/>
            </w:pPr>
            <w:r w:rsidRPr="00DE5867">
              <w:t xml:space="preserve">Access to </w:t>
            </w:r>
            <w:r>
              <w:t>p</w:t>
            </w:r>
            <w:r w:rsidRPr="00DE5867">
              <w:t xml:space="preserve">ublic </w:t>
            </w:r>
            <w:r>
              <w:t>s</w:t>
            </w:r>
            <w:r w:rsidRPr="00DE5867">
              <w:t>ervices</w:t>
            </w:r>
            <w:r>
              <w:t xml:space="preserve"> and information about extended foster care including information about public benefits that the youth will be eligible for as </w:t>
            </w:r>
            <w:proofErr w:type="gramStart"/>
            <w:r>
              <w:t>an adult</w:t>
            </w:r>
            <w:proofErr w:type="gramEnd"/>
            <w:r w:rsidR="003154D9">
              <w:t>,</w:t>
            </w:r>
            <w:r>
              <w:t xml:space="preserve"> information regarding how to navigate the health care system</w:t>
            </w:r>
            <w:r w:rsidR="003154D9">
              <w:t>,</w:t>
            </w:r>
            <w:r>
              <w:t xml:space="preserve"> and how to advocate for their health care needs.</w:t>
            </w:r>
          </w:p>
          <w:p w:rsidR="0089465F" w:rsidRPr="002B1B3A" w:rsidRDefault="0089465F" w:rsidP="002B1B3A">
            <w:pPr>
              <w:pStyle w:val="ListParagraph"/>
              <w:rPr>
                <w:sz w:val="10"/>
                <w:szCs w:val="10"/>
              </w:rPr>
            </w:pPr>
          </w:p>
          <w:p w:rsidR="0089465F" w:rsidRDefault="0089465F" w:rsidP="0043317F">
            <w:pPr>
              <w:pStyle w:val="ListParagraph"/>
              <w:numPr>
                <w:ilvl w:val="0"/>
                <w:numId w:val="12"/>
              </w:numPr>
              <w:ind w:left="360"/>
            </w:pPr>
            <w:r>
              <w:t>Permanency support services (Core Services E) to minimize the number of youth aging-out of foster care without a committed permanent family.</w:t>
            </w:r>
          </w:p>
          <w:p w:rsidR="0089465F" w:rsidRPr="002B1B3A" w:rsidRDefault="0089465F" w:rsidP="002B1B3A">
            <w:pPr>
              <w:pStyle w:val="ListParagraph"/>
              <w:rPr>
                <w:sz w:val="10"/>
                <w:szCs w:val="10"/>
              </w:rPr>
            </w:pPr>
          </w:p>
          <w:p w:rsidR="0089465F" w:rsidRPr="00A462FE" w:rsidRDefault="0089465F" w:rsidP="0043317F">
            <w:pPr>
              <w:pStyle w:val="ListParagraph"/>
              <w:numPr>
                <w:ilvl w:val="0"/>
                <w:numId w:val="12"/>
              </w:numPr>
              <w:ind w:left="360"/>
            </w:pPr>
            <w:r>
              <w:rPr>
                <w:rFonts w:cs="Arial"/>
              </w:rPr>
              <w:t>Etcetera</w:t>
            </w:r>
          </w:p>
        </w:tc>
      </w:tr>
    </w:tbl>
    <w:p w:rsidR="009F71C7" w:rsidRDefault="009F71C7">
      <w:r>
        <w:br w:type="page"/>
      </w:r>
    </w:p>
    <w:tbl>
      <w:tblPr>
        <w:tblStyle w:val="TableGrid"/>
        <w:tblW w:w="4993" w:type="pct"/>
        <w:tblLook w:val="04A0" w:firstRow="1" w:lastRow="0" w:firstColumn="1" w:lastColumn="0" w:noHBand="0" w:noVBand="1"/>
      </w:tblPr>
      <w:tblGrid>
        <w:gridCol w:w="13158"/>
      </w:tblGrid>
      <w:tr w:rsidR="0089465F" w:rsidRPr="002C21F5" w:rsidTr="002B1B3A">
        <w:trPr>
          <w:trHeight w:val="615"/>
        </w:trPr>
        <w:tc>
          <w:tcPr>
            <w:tcW w:w="5000" w:type="pct"/>
            <w:shd w:val="pct15" w:color="auto" w:fill="auto"/>
            <w:vAlign w:val="center"/>
          </w:tcPr>
          <w:p w:rsidR="0089465F" w:rsidRPr="00C17A71" w:rsidRDefault="0089465F" w:rsidP="00962FA3">
            <w:pPr>
              <w:pStyle w:val="Default"/>
              <w:rPr>
                <w:rFonts w:ascii="Arial" w:hAnsi="Arial" w:cs="Arial"/>
                <w:b/>
              </w:rPr>
            </w:pPr>
            <w:r>
              <w:lastRenderedPageBreak/>
              <w:br w:type="page"/>
            </w:r>
            <w:r w:rsidRPr="00C17A71">
              <w:rPr>
                <w:rFonts w:ascii="Arial" w:hAnsi="Arial" w:cs="Arial"/>
                <w:b/>
              </w:rPr>
              <w:t xml:space="preserve">(E) Permanency Support Services </w:t>
            </w:r>
            <w:r w:rsidR="00BA2DEE" w:rsidRPr="00C17A71">
              <w:rPr>
                <w:rFonts w:ascii="Arial" w:hAnsi="Arial" w:cs="Arial"/>
                <w:b/>
              </w:rPr>
              <w:t xml:space="preserve">refers to “services to achieve permanency, including supporting efforts to reunify or achieve adoption or guardianship and efforts to maintain or establish relationships with parents, siblings, extended family members, tribes, or others important to the child or youth, as appropriate” </w:t>
            </w:r>
            <w:r w:rsidRPr="00C17A71">
              <w:rPr>
                <w:rFonts w:ascii="Arial" w:hAnsi="Arial" w:cs="Arial"/>
                <w:b/>
              </w:rPr>
              <w:t>include, but are not limited to:</w:t>
            </w:r>
          </w:p>
        </w:tc>
      </w:tr>
      <w:tr w:rsidR="0089465F" w:rsidRPr="002C21F5" w:rsidTr="002B1B3A">
        <w:trPr>
          <w:trHeight w:val="890"/>
        </w:trPr>
        <w:tc>
          <w:tcPr>
            <w:tcW w:w="5000" w:type="pct"/>
            <w:shd w:val="pct15" w:color="auto" w:fill="auto"/>
          </w:tcPr>
          <w:p w:rsidR="0089465F" w:rsidRPr="00934CB1" w:rsidRDefault="0089465F" w:rsidP="00934CB1">
            <w:pPr>
              <w:pStyle w:val="ListParagraph"/>
              <w:numPr>
                <w:ilvl w:val="0"/>
                <w:numId w:val="14"/>
              </w:numPr>
              <w:ind w:left="360"/>
              <w:rPr>
                <w:rFonts w:cs="Arial"/>
              </w:rPr>
            </w:pPr>
            <w:r>
              <w:rPr>
                <w:rFonts w:cs="Arial"/>
              </w:rPr>
              <w:t xml:space="preserve">Assistance in </w:t>
            </w:r>
            <w:r w:rsidRPr="00934CB1">
              <w:rPr>
                <w:rFonts w:cs="Arial"/>
              </w:rPr>
              <w:t xml:space="preserve">reunification services </w:t>
            </w:r>
            <w:r>
              <w:rPr>
                <w:rFonts w:cs="Arial"/>
              </w:rPr>
              <w:t xml:space="preserve">under concurrent planning </w:t>
            </w:r>
            <w:r w:rsidRPr="00934CB1">
              <w:rPr>
                <w:rFonts w:cs="Arial"/>
              </w:rPr>
              <w:t>including frequent family visitation</w:t>
            </w:r>
            <w:r>
              <w:rPr>
                <w:rFonts w:cs="Arial"/>
              </w:rPr>
              <w:t xml:space="preserve"> with parents and siblings</w:t>
            </w:r>
            <w:r w:rsidRPr="00934CB1">
              <w:rPr>
                <w:rFonts w:cs="Arial"/>
              </w:rPr>
              <w:t xml:space="preserve"> as authorized by the </w:t>
            </w:r>
            <w:r w:rsidR="002B1B3A" w:rsidRPr="00934CB1">
              <w:rPr>
                <w:rFonts w:cs="Arial"/>
              </w:rPr>
              <w:t>court.</w:t>
            </w:r>
            <w:r w:rsidR="00BB6686">
              <w:rPr>
                <w:rFonts w:cs="Arial"/>
              </w:rPr>
              <w:t xml:space="preserve"> Assistance may include</w:t>
            </w:r>
            <w:r w:rsidR="00713D39">
              <w:rPr>
                <w:rFonts w:cs="Arial"/>
              </w:rPr>
              <w:t>,</w:t>
            </w:r>
            <w:r w:rsidR="00BB6686">
              <w:rPr>
                <w:rFonts w:cs="Arial"/>
              </w:rPr>
              <w:t xml:space="preserve"> but are not limited to: transportation, </w:t>
            </w:r>
            <w:r w:rsidR="00713D39">
              <w:rPr>
                <w:rFonts w:cs="Arial"/>
              </w:rPr>
              <w:t>supervising visits, scheduling visits, etc.</w:t>
            </w:r>
          </w:p>
          <w:p w:rsidR="0089465F" w:rsidRPr="00934CB1" w:rsidRDefault="0089465F" w:rsidP="00934CB1">
            <w:pPr>
              <w:rPr>
                <w:rFonts w:cs="Arial"/>
                <w:sz w:val="10"/>
                <w:szCs w:val="10"/>
              </w:rPr>
            </w:pPr>
          </w:p>
          <w:p w:rsidR="0089465F" w:rsidRPr="00D25C91" w:rsidRDefault="0089465F" w:rsidP="00934CB1">
            <w:pPr>
              <w:pStyle w:val="ListParagraph"/>
              <w:numPr>
                <w:ilvl w:val="0"/>
                <w:numId w:val="14"/>
              </w:numPr>
              <w:ind w:left="360"/>
              <w:rPr>
                <w:rFonts w:cs="Arial"/>
              </w:rPr>
            </w:pPr>
            <w:r w:rsidRPr="00D25C91">
              <w:rPr>
                <w:rFonts w:cs="Arial"/>
              </w:rPr>
              <w:t xml:space="preserve">Ongoing support efforts </w:t>
            </w:r>
            <w:r w:rsidR="00FD364F" w:rsidRPr="00D25C91">
              <w:rPr>
                <w:rFonts w:cs="Arial"/>
              </w:rPr>
              <w:t xml:space="preserve">(including family finding and engagement) </w:t>
            </w:r>
            <w:r w:rsidRPr="00D25C91">
              <w:rPr>
                <w:rFonts w:cs="Arial"/>
              </w:rPr>
              <w:t xml:space="preserve">with the child or youth as age appropriate to achieve legal permanency options that may include </w:t>
            </w:r>
            <w:r w:rsidR="00FD364F" w:rsidRPr="00D25C91">
              <w:rPr>
                <w:rFonts w:cs="Arial"/>
              </w:rPr>
              <w:t xml:space="preserve">reunification, </w:t>
            </w:r>
            <w:r w:rsidRPr="00D25C91">
              <w:rPr>
                <w:rFonts w:cs="Arial"/>
              </w:rPr>
              <w:t>guardianship</w:t>
            </w:r>
            <w:r w:rsidR="00FD364F" w:rsidRPr="00D25C91">
              <w:rPr>
                <w:rFonts w:cs="Arial"/>
              </w:rPr>
              <w:t>,</w:t>
            </w:r>
            <w:r w:rsidRPr="00D25C91">
              <w:rPr>
                <w:rFonts w:cs="Arial"/>
              </w:rPr>
              <w:t xml:space="preserve"> and adoption as well as efforts to maintain or establish lifelong relationship with the parents, siblings, extended family members, tribes, or others who are important to the child or youth (as appropriate) whether or not legal permanency is an option. </w:t>
            </w:r>
            <w:r w:rsidR="00FD364F" w:rsidRPr="00D25C91">
              <w:rPr>
                <w:rFonts w:cs="Arial"/>
              </w:rPr>
              <w:t>This may include interviewing the child/youth and/or the parents to identify relatives and nonrelatives who may be willing to maintain lifelong connections.</w:t>
            </w:r>
          </w:p>
          <w:p w:rsidR="0089465F" w:rsidRDefault="0089465F" w:rsidP="00934CB1">
            <w:pPr>
              <w:pStyle w:val="ListParagraph"/>
              <w:ind w:left="360"/>
              <w:rPr>
                <w:rFonts w:cs="Arial"/>
                <w:sz w:val="10"/>
                <w:szCs w:val="10"/>
              </w:rPr>
            </w:pPr>
          </w:p>
          <w:p w:rsidR="0089465F" w:rsidRPr="00D25C91" w:rsidRDefault="0089465F" w:rsidP="00D25C91">
            <w:pPr>
              <w:pStyle w:val="ListParagraph"/>
              <w:numPr>
                <w:ilvl w:val="0"/>
                <w:numId w:val="14"/>
              </w:numPr>
              <w:ind w:left="360"/>
              <w:rPr>
                <w:rFonts w:cs="Arial"/>
              </w:rPr>
            </w:pPr>
            <w:r w:rsidRPr="003675A7">
              <w:rPr>
                <w:rFonts w:cs="Arial"/>
              </w:rPr>
              <w:t>Services to</w:t>
            </w:r>
            <w:r w:rsidRPr="00934CB1">
              <w:rPr>
                <w:rFonts w:cs="Arial"/>
              </w:rPr>
              <w:t xml:space="preserve"> stabilize and achieve permanency such as mental health services </w:t>
            </w:r>
            <w:r>
              <w:rPr>
                <w:rFonts w:cs="Arial"/>
              </w:rPr>
              <w:t xml:space="preserve">and/or other </w:t>
            </w:r>
            <w:r w:rsidRPr="00934CB1">
              <w:rPr>
                <w:rFonts w:cs="Arial"/>
              </w:rPr>
              <w:t>support</w:t>
            </w:r>
            <w:r>
              <w:rPr>
                <w:rFonts w:cs="Arial"/>
              </w:rPr>
              <w:t>ive services to</w:t>
            </w:r>
            <w:r w:rsidRPr="00934CB1">
              <w:rPr>
                <w:rFonts w:cs="Arial"/>
              </w:rPr>
              <w:t xml:space="preserve"> </w:t>
            </w:r>
            <w:r>
              <w:rPr>
                <w:rFonts w:cs="Arial"/>
              </w:rPr>
              <w:t xml:space="preserve">support </w:t>
            </w:r>
            <w:r w:rsidRPr="00934CB1">
              <w:rPr>
                <w:rFonts w:cs="Arial"/>
              </w:rPr>
              <w:t>the family in reunification, guardianship, or adoption</w:t>
            </w:r>
            <w:r>
              <w:rPr>
                <w:rFonts w:cs="Arial"/>
              </w:rPr>
              <w:t xml:space="preserve">. Examples of services </w:t>
            </w:r>
            <w:r w:rsidRPr="00934CB1">
              <w:rPr>
                <w:rFonts w:cs="Arial"/>
              </w:rPr>
              <w:t>may include</w:t>
            </w:r>
            <w:r>
              <w:rPr>
                <w:rFonts w:cs="Arial"/>
              </w:rPr>
              <w:t>:</w:t>
            </w:r>
            <w:r w:rsidRPr="00934CB1">
              <w:rPr>
                <w:rFonts w:cs="Arial"/>
              </w:rPr>
              <w:t xml:space="preserve"> </w:t>
            </w:r>
            <w:r>
              <w:rPr>
                <w:rFonts w:cs="Arial"/>
              </w:rPr>
              <w:t xml:space="preserve">traditional therapy; evidence </w:t>
            </w:r>
            <w:r w:rsidR="00D25C91">
              <w:rPr>
                <w:rFonts w:cs="Arial"/>
              </w:rPr>
              <w:t xml:space="preserve">informed </w:t>
            </w:r>
            <w:r>
              <w:rPr>
                <w:rFonts w:cs="Arial"/>
              </w:rPr>
              <w:t xml:space="preserve">treatments (i.e. </w:t>
            </w:r>
            <w:r w:rsidR="004A792E">
              <w:rPr>
                <w:rFonts w:cs="Arial"/>
              </w:rPr>
              <w:t>Functional Family Therapy [</w:t>
            </w:r>
            <w:r>
              <w:rPr>
                <w:rFonts w:cs="Arial"/>
              </w:rPr>
              <w:t>FFT</w:t>
            </w:r>
            <w:r w:rsidR="004A792E">
              <w:rPr>
                <w:rFonts w:cs="Arial"/>
              </w:rPr>
              <w:t>]</w:t>
            </w:r>
            <w:r>
              <w:rPr>
                <w:rFonts w:cs="Arial"/>
              </w:rPr>
              <w:t xml:space="preserve">, </w:t>
            </w:r>
            <w:r w:rsidR="004A792E">
              <w:rPr>
                <w:rFonts w:cs="Arial"/>
              </w:rPr>
              <w:t>Parent Child Interactive Therapy [</w:t>
            </w:r>
            <w:r>
              <w:rPr>
                <w:rFonts w:cs="Arial"/>
              </w:rPr>
              <w:t>PCIT</w:t>
            </w:r>
            <w:r w:rsidR="004A792E">
              <w:rPr>
                <w:rFonts w:cs="Arial"/>
              </w:rPr>
              <w:t>]</w:t>
            </w:r>
            <w:r>
              <w:rPr>
                <w:rFonts w:cs="Arial"/>
              </w:rPr>
              <w:t xml:space="preserve">, </w:t>
            </w:r>
            <w:r w:rsidR="004A792E">
              <w:rPr>
                <w:rFonts w:cs="Arial"/>
              </w:rPr>
              <w:t>Positive Parenting Program [</w:t>
            </w:r>
            <w:r>
              <w:rPr>
                <w:rFonts w:cs="Arial"/>
              </w:rPr>
              <w:t>Triple P</w:t>
            </w:r>
            <w:r w:rsidR="004A792E">
              <w:rPr>
                <w:rFonts w:cs="Arial"/>
              </w:rPr>
              <w:t>]</w:t>
            </w:r>
            <w:r>
              <w:rPr>
                <w:rFonts w:cs="Arial"/>
              </w:rPr>
              <w:t>, etc</w:t>
            </w:r>
            <w:r w:rsidR="004A792E">
              <w:rPr>
                <w:rFonts w:cs="Arial"/>
              </w:rPr>
              <w:t>.</w:t>
            </w:r>
            <w:r>
              <w:rPr>
                <w:rFonts w:cs="Arial"/>
              </w:rPr>
              <w:t xml:space="preserve">); </w:t>
            </w:r>
            <w:r w:rsidRPr="00934CB1">
              <w:rPr>
                <w:rFonts w:cs="Arial"/>
              </w:rPr>
              <w:t>family coaching</w:t>
            </w:r>
            <w:r>
              <w:rPr>
                <w:rFonts w:cs="Arial"/>
              </w:rPr>
              <w:t>;</w:t>
            </w:r>
            <w:r w:rsidRPr="00934CB1">
              <w:rPr>
                <w:rFonts w:cs="Arial"/>
              </w:rPr>
              <w:t xml:space="preserve"> </w:t>
            </w:r>
            <w:r>
              <w:rPr>
                <w:rFonts w:cs="Arial"/>
              </w:rPr>
              <w:t xml:space="preserve">support groups; </w:t>
            </w:r>
            <w:r w:rsidRPr="00934CB1">
              <w:rPr>
                <w:rFonts w:cs="Arial"/>
              </w:rPr>
              <w:t>and cris</w:t>
            </w:r>
            <w:r>
              <w:rPr>
                <w:rFonts w:cs="Arial"/>
              </w:rPr>
              <w:t>i</w:t>
            </w:r>
            <w:r w:rsidRPr="00934CB1">
              <w:rPr>
                <w:rFonts w:cs="Arial"/>
              </w:rPr>
              <w:t>s intervention.</w:t>
            </w:r>
          </w:p>
          <w:p w:rsidR="0089465F" w:rsidRPr="00934CB1" w:rsidRDefault="0089465F" w:rsidP="00934CB1">
            <w:pPr>
              <w:pStyle w:val="ListParagraph"/>
              <w:ind w:left="360"/>
              <w:rPr>
                <w:rFonts w:cs="Arial"/>
                <w:sz w:val="10"/>
                <w:szCs w:val="10"/>
              </w:rPr>
            </w:pPr>
          </w:p>
          <w:p w:rsidR="0089465F" w:rsidRPr="00934CB1" w:rsidRDefault="0089465F" w:rsidP="00934CB1">
            <w:pPr>
              <w:pStyle w:val="ListParagraph"/>
              <w:numPr>
                <w:ilvl w:val="0"/>
                <w:numId w:val="14"/>
              </w:numPr>
              <w:ind w:left="360"/>
              <w:rPr>
                <w:rFonts w:cs="Arial"/>
              </w:rPr>
            </w:pPr>
            <w:r w:rsidRPr="00934CB1">
              <w:rPr>
                <w:rFonts w:cs="Arial"/>
              </w:rPr>
              <w:t xml:space="preserve">Appropriate </w:t>
            </w:r>
            <w:r>
              <w:rPr>
                <w:rFonts w:cs="Arial"/>
              </w:rPr>
              <w:t xml:space="preserve">assessment and </w:t>
            </w:r>
            <w:r w:rsidRPr="00934CB1">
              <w:rPr>
                <w:rFonts w:cs="Arial"/>
              </w:rPr>
              <w:t xml:space="preserve">matching </w:t>
            </w:r>
            <w:r>
              <w:rPr>
                <w:rFonts w:cs="Arial"/>
              </w:rPr>
              <w:t>for</w:t>
            </w:r>
            <w:r w:rsidRPr="00934CB1">
              <w:rPr>
                <w:rFonts w:cs="Arial"/>
              </w:rPr>
              <w:t xml:space="preserve"> the child or youth </w:t>
            </w:r>
            <w:r>
              <w:rPr>
                <w:rFonts w:cs="Arial"/>
              </w:rPr>
              <w:t>and the parents that includes r</w:t>
            </w:r>
            <w:r w:rsidRPr="00934CB1">
              <w:rPr>
                <w:rFonts w:cs="Arial"/>
              </w:rPr>
              <w:t>elative</w:t>
            </w:r>
            <w:r>
              <w:rPr>
                <w:rFonts w:cs="Arial"/>
              </w:rPr>
              <w:t>s</w:t>
            </w:r>
            <w:r w:rsidRPr="00934CB1">
              <w:rPr>
                <w:rFonts w:cs="Arial"/>
              </w:rPr>
              <w:t xml:space="preserve"> or non-relative</w:t>
            </w:r>
            <w:r>
              <w:rPr>
                <w:rFonts w:cs="Arial"/>
              </w:rPr>
              <w:t>s</w:t>
            </w:r>
            <w:r w:rsidRPr="00934CB1">
              <w:rPr>
                <w:rFonts w:cs="Arial"/>
              </w:rPr>
              <w:t xml:space="preserve">, </w:t>
            </w:r>
            <w:r w:rsidR="008D5D60">
              <w:rPr>
                <w:rFonts w:cs="Arial"/>
              </w:rPr>
              <w:t>licensed providers</w:t>
            </w:r>
            <w:r w:rsidRPr="00934CB1">
              <w:rPr>
                <w:rFonts w:cs="Arial"/>
              </w:rPr>
              <w:t xml:space="preserve">, guardianship, </w:t>
            </w:r>
            <w:r>
              <w:rPr>
                <w:rFonts w:cs="Arial"/>
              </w:rPr>
              <w:t xml:space="preserve">and </w:t>
            </w:r>
            <w:r w:rsidRPr="00934CB1">
              <w:rPr>
                <w:rFonts w:cs="Arial"/>
              </w:rPr>
              <w:t>adoption</w:t>
            </w:r>
            <w:r>
              <w:rPr>
                <w:rFonts w:cs="Arial"/>
              </w:rPr>
              <w:t xml:space="preserve"> to support permanency</w:t>
            </w:r>
            <w:r w:rsidRPr="00934CB1">
              <w:rPr>
                <w:rFonts w:cs="Arial"/>
              </w:rPr>
              <w:t>.</w:t>
            </w:r>
          </w:p>
          <w:p w:rsidR="0089465F" w:rsidRPr="00934CB1" w:rsidRDefault="0089465F" w:rsidP="00934CB1">
            <w:pPr>
              <w:rPr>
                <w:rFonts w:cs="Arial"/>
                <w:sz w:val="10"/>
                <w:szCs w:val="10"/>
              </w:rPr>
            </w:pPr>
          </w:p>
          <w:p w:rsidR="0089465F" w:rsidRDefault="0089465F" w:rsidP="007C667B">
            <w:pPr>
              <w:pStyle w:val="ListParagraph"/>
              <w:numPr>
                <w:ilvl w:val="0"/>
                <w:numId w:val="14"/>
              </w:numPr>
              <w:ind w:left="360"/>
              <w:rPr>
                <w:rFonts w:cs="Arial"/>
              </w:rPr>
            </w:pPr>
            <w:r>
              <w:rPr>
                <w:rFonts w:cs="Arial"/>
              </w:rPr>
              <w:t>The c</w:t>
            </w:r>
            <w:r w:rsidRPr="00934CB1">
              <w:rPr>
                <w:rFonts w:cs="Arial"/>
              </w:rPr>
              <w:t xml:space="preserve">hild or </w:t>
            </w:r>
            <w:r>
              <w:rPr>
                <w:rFonts w:cs="Arial"/>
              </w:rPr>
              <w:t>y</w:t>
            </w:r>
            <w:r w:rsidRPr="00934CB1">
              <w:rPr>
                <w:rFonts w:cs="Arial"/>
              </w:rPr>
              <w:t xml:space="preserve">outh and </w:t>
            </w:r>
            <w:r>
              <w:rPr>
                <w:rFonts w:cs="Arial"/>
              </w:rPr>
              <w:t>licensed providers</w:t>
            </w:r>
            <w:r w:rsidRPr="00934CB1">
              <w:rPr>
                <w:rFonts w:cs="Arial"/>
              </w:rPr>
              <w:t xml:space="preserve"> </w:t>
            </w:r>
            <w:r>
              <w:rPr>
                <w:rFonts w:cs="Arial"/>
              </w:rPr>
              <w:t>shall</w:t>
            </w:r>
            <w:r w:rsidRPr="00934CB1">
              <w:rPr>
                <w:rFonts w:cs="Arial"/>
              </w:rPr>
              <w:t xml:space="preserve"> </w:t>
            </w:r>
            <w:r>
              <w:rPr>
                <w:rFonts w:cs="Arial"/>
              </w:rPr>
              <w:t>be provided with</w:t>
            </w:r>
            <w:r w:rsidRPr="00934CB1">
              <w:rPr>
                <w:rFonts w:cs="Arial"/>
              </w:rPr>
              <w:t xml:space="preserve"> appropriate support</w:t>
            </w:r>
            <w:r>
              <w:rPr>
                <w:rFonts w:cs="Arial"/>
              </w:rPr>
              <w:t xml:space="preserve">, including mental health services and medical services, </w:t>
            </w:r>
            <w:r w:rsidRPr="00934CB1">
              <w:rPr>
                <w:rFonts w:cs="Arial"/>
              </w:rPr>
              <w:t xml:space="preserve">to address </w:t>
            </w:r>
            <w:r>
              <w:rPr>
                <w:rFonts w:cs="Arial"/>
              </w:rPr>
              <w:t>grief and loss, trauma, and stigma and rejection, to ameliorate impairments in significant areas of life functioning that can reduce the child or youth’s ability to achieve a permanency</w:t>
            </w:r>
            <w:r w:rsidRPr="00934CB1">
              <w:rPr>
                <w:rFonts w:cs="Arial"/>
              </w:rPr>
              <w:t>.</w:t>
            </w:r>
          </w:p>
          <w:p w:rsidR="0089465F" w:rsidRDefault="0089465F" w:rsidP="002B1B3A">
            <w:pPr>
              <w:pStyle w:val="ListParagraph"/>
              <w:rPr>
                <w:rFonts w:cs="Arial"/>
                <w:sz w:val="10"/>
                <w:szCs w:val="10"/>
              </w:rPr>
            </w:pPr>
          </w:p>
          <w:p w:rsidR="00186E17" w:rsidRDefault="00186E17" w:rsidP="00186E17">
            <w:pPr>
              <w:pStyle w:val="ListParagraph"/>
              <w:numPr>
                <w:ilvl w:val="0"/>
                <w:numId w:val="14"/>
              </w:numPr>
              <w:ind w:left="360"/>
              <w:rPr>
                <w:rFonts w:cs="Arial"/>
              </w:rPr>
            </w:pPr>
            <w:r>
              <w:rPr>
                <w:rFonts w:cs="Arial"/>
              </w:rPr>
              <w:t>Post Permanency support services for children, youth, and licensed provider following reunification, guardianship, or adoption to sustain permanency.</w:t>
            </w:r>
          </w:p>
          <w:p w:rsidR="00186E17" w:rsidRPr="002B1B3A" w:rsidRDefault="00186E17" w:rsidP="002B1B3A">
            <w:pPr>
              <w:pStyle w:val="ListParagraph"/>
              <w:rPr>
                <w:rFonts w:cs="Arial"/>
                <w:sz w:val="10"/>
                <w:szCs w:val="10"/>
              </w:rPr>
            </w:pPr>
          </w:p>
          <w:p w:rsidR="0089465F" w:rsidRPr="00934CB1" w:rsidRDefault="0089465F" w:rsidP="007C667B">
            <w:pPr>
              <w:pStyle w:val="ListParagraph"/>
              <w:numPr>
                <w:ilvl w:val="0"/>
                <w:numId w:val="14"/>
              </w:numPr>
              <w:ind w:left="360"/>
              <w:rPr>
                <w:rFonts w:cs="Arial"/>
              </w:rPr>
            </w:pPr>
            <w:r>
              <w:rPr>
                <w:rFonts w:cs="Arial"/>
              </w:rPr>
              <w:t>Etcetera</w:t>
            </w:r>
          </w:p>
        </w:tc>
      </w:tr>
    </w:tbl>
    <w:p w:rsidR="00385D58" w:rsidRDefault="00385D58"/>
    <w:p w:rsidR="00686731" w:rsidRDefault="00686731">
      <w:r>
        <w:br w:type="page"/>
      </w:r>
    </w:p>
    <w:tbl>
      <w:tblPr>
        <w:tblStyle w:val="TableGrid"/>
        <w:tblW w:w="13901" w:type="dxa"/>
        <w:tblInd w:w="-725" w:type="dxa"/>
        <w:tblLook w:val="04A0" w:firstRow="1" w:lastRow="0" w:firstColumn="1" w:lastColumn="0" w:noHBand="0" w:noVBand="1"/>
      </w:tblPr>
      <w:tblGrid>
        <w:gridCol w:w="2497"/>
        <w:gridCol w:w="8866"/>
        <w:gridCol w:w="2538"/>
      </w:tblGrid>
      <w:tr w:rsidR="00DD1C90" w:rsidRPr="00FE3CB5" w:rsidTr="002B1B3A">
        <w:trPr>
          <w:trHeight w:val="620"/>
        </w:trPr>
        <w:tc>
          <w:tcPr>
            <w:tcW w:w="11363" w:type="dxa"/>
            <w:gridSpan w:val="2"/>
            <w:shd w:val="pct15" w:color="auto" w:fill="auto"/>
            <w:vAlign w:val="center"/>
          </w:tcPr>
          <w:p w:rsidR="00DD1C90" w:rsidRPr="00926E2B" w:rsidRDefault="00DD1C90" w:rsidP="00DC21E9">
            <w:pPr>
              <w:pStyle w:val="Header"/>
              <w:jc w:val="center"/>
              <w:rPr>
                <w:rFonts w:cs="Arial"/>
                <w:b/>
                <w:szCs w:val="24"/>
              </w:rPr>
            </w:pPr>
            <w:r w:rsidRPr="00926E2B">
              <w:rPr>
                <w:rFonts w:cs="Arial"/>
                <w:b/>
                <w:szCs w:val="24"/>
              </w:rPr>
              <w:lastRenderedPageBreak/>
              <w:t>Definition Options for Culturally Relevant Services and Trauma-Informed</w:t>
            </w:r>
          </w:p>
        </w:tc>
        <w:tc>
          <w:tcPr>
            <w:tcW w:w="2538" w:type="dxa"/>
            <w:shd w:val="pct15" w:color="auto" w:fill="auto"/>
          </w:tcPr>
          <w:p w:rsidR="00DD1C90" w:rsidRPr="00926E2B" w:rsidRDefault="005F4363" w:rsidP="00A11A3A">
            <w:pPr>
              <w:pStyle w:val="Header"/>
              <w:jc w:val="center"/>
              <w:rPr>
                <w:rFonts w:cs="Arial"/>
                <w:b/>
                <w:szCs w:val="24"/>
              </w:rPr>
            </w:pPr>
            <w:r>
              <w:rPr>
                <w:rFonts w:cs="Arial"/>
                <w:b/>
                <w:szCs w:val="24"/>
              </w:rPr>
              <w:t>Recommendation to Update</w:t>
            </w:r>
          </w:p>
        </w:tc>
      </w:tr>
      <w:tr w:rsidR="00DC21E9" w:rsidRPr="00672E4D" w:rsidTr="00DC21E9">
        <w:tc>
          <w:tcPr>
            <w:tcW w:w="2497" w:type="dxa"/>
          </w:tcPr>
          <w:p w:rsidR="00DC21E9" w:rsidRPr="00926E2B" w:rsidRDefault="00DC21E9" w:rsidP="00205973">
            <w:pPr>
              <w:rPr>
                <w:rFonts w:cs="Arial"/>
                <w:b/>
                <w:szCs w:val="24"/>
              </w:rPr>
            </w:pPr>
            <w:r w:rsidRPr="00926E2B">
              <w:rPr>
                <w:rFonts w:cs="Arial"/>
                <w:b/>
                <w:szCs w:val="24"/>
              </w:rPr>
              <w:t>Culturally Relevant Services</w:t>
            </w:r>
          </w:p>
        </w:tc>
        <w:tc>
          <w:tcPr>
            <w:tcW w:w="8866" w:type="dxa"/>
          </w:tcPr>
          <w:p w:rsidR="00DC21E9" w:rsidRPr="00926E2B" w:rsidRDefault="00DC21E9" w:rsidP="00A11A3A">
            <w:pPr>
              <w:rPr>
                <w:rFonts w:cs="Arial"/>
                <w:szCs w:val="24"/>
              </w:rPr>
            </w:pPr>
            <w:r w:rsidRPr="00926E2B">
              <w:rPr>
                <w:rFonts w:cs="Arial"/>
                <w:szCs w:val="24"/>
              </w:rPr>
              <w:t xml:space="preserve">Agency </w:t>
            </w:r>
            <w:r w:rsidRPr="00AA23AD">
              <w:rPr>
                <w:rFonts w:cs="Arial"/>
                <w:szCs w:val="24"/>
              </w:rPr>
              <w:t>child and family assessments should reflect cultural awareness and sensitivity and consider the cultural background and knowing</w:t>
            </w:r>
            <w:r>
              <w:rPr>
                <w:rFonts w:cs="Arial"/>
                <w:szCs w:val="24"/>
              </w:rPr>
              <w:t xml:space="preserve"> how to interact with individuality and personality</w:t>
            </w:r>
            <w:r w:rsidRPr="00926E2B">
              <w:rPr>
                <w:rFonts w:cs="Arial"/>
                <w:szCs w:val="24"/>
              </w:rPr>
              <w:t xml:space="preserve"> of both the person doing the assessment and the family and child being assessed.</w:t>
            </w:r>
          </w:p>
          <w:p w:rsidR="00DC21E9" w:rsidRPr="00926E2B" w:rsidRDefault="00DC21E9" w:rsidP="00A11A3A">
            <w:pPr>
              <w:rPr>
                <w:rFonts w:cs="Arial"/>
                <w:szCs w:val="24"/>
              </w:rPr>
            </w:pPr>
            <w:r w:rsidRPr="00926E2B">
              <w:rPr>
                <w:rFonts w:cs="Arial"/>
                <w:szCs w:val="24"/>
              </w:rPr>
              <w:t xml:space="preserve">Website: </w:t>
            </w:r>
            <w:hyperlink r:id="rId9" w:history="1">
              <w:r w:rsidRPr="00926E2B">
                <w:rPr>
                  <w:rStyle w:val="Hyperlink"/>
                  <w:rFonts w:cs="Arial"/>
                  <w:szCs w:val="24"/>
                </w:rPr>
                <w:t>https://training.cfsrportal.org/section-4-trauma-child-welfare-system/2648</w:t>
              </w:r>
            </w:hyperlink>
          </w:p>
        </w:tc>
        <w:tc>
          <w:tcPr>
            <w:tcW w:w="2538" w:type="dxa"/>
            <w:vMerge w:val="restart"/>
            <w:vAlign w:val="center"/>
          </w:tcPr>
          <w:p w:rsidR="00DC21E9" w:rsidRPr="00DC21E9" w:rsidRDefault="00DC21E9" w:rsidP="00DC21E9">
            <w:pPr>
              <w:jc w:val="center"/>
              <w:rPr>
                <w:rFonts w:cs="Arial"/>
                <w:szCs w:val="24"/>
              </w:rPr>
            </w:pPr>
            <w:r w:rsidRPr="00DC21E9">
              <w:rPr>
                <w:rFonts w:cs="Arial"/>
                <w:szCs w:val="24"/>
              </w:rPr>
              <w:t>Merge these two definitions together.</w:t>
            </w:r>
          </w:p>
          <w:p w:rsidR="00DC21E9" w:rsidRPr="00DC21E9" w:rsidRDefault="00DC21E9" w:rsidP="00DC21E9">
            <w:pPr>
              <w:jc w:val="center"/>
              <w:rPr>
                <w:rFonts w:cs="Arial"/>
                <w:szCs w:val="24"/>
              </w:rPr>
            </w:pPr>
          </w:p>
          <w:p w:rsidR="00DC21E9" w:rsidRPr="0009585D" w:rsidRDefault="00DC21E9" w:rsidP="00DC21E9">
            <w:pPr>
              <w:jc w:val="center"/>
              <w:rPr>
                <w:rFonts w:cs="Arial"/>
                <w:b/>
                <w:szCs w:val="24"/>
              </w:rPr>
            </w:pPr>
          </w:p>
        </w:tc>
      </w:tr>
      <w:tr w:rsidR="00DC21E9" w:rsidRPr="00672E4D" w:rsidTr="00F0420C">
        <w:tc>
          <w:tcPr>
            <w:tcW w:w="2497" w:type="dxa"/>
          </w:tcPr>
          <w:p w:rsidR="00DC21E9" w:rsidRPr="006739D7" w:rsidRDefault="00BF56CA" w:rsidP="00205973">
            <w:pPr>
              <w:rPr>
                <w:rFonts w:cs="Arial"/>
                <w:b/>
                <w:szCs w:val="24"/>
              </w:rPr>
            </w:pPr>
            <w:r>
              <w:rPr>
                <w:rFonts w:cs="Arial"/>
                <w:b/>
                <w:szCs w:val="24"/>
              </w:rPr>
              <w:t>Culturally Relevant Services</w:t>
            </w:r>
          </w:p>
        </w:tc>
        <w:tc>
          <w:tcPr>
            <w:tcW w:w="8866" w:type="dxa"/>
          </w:tcPr>
          <w:p w:rsidR="00DC21E9" w:rsidRPr="006739D7" w:rsidRDefault="00DC21E9" w:rsidP="00A11A3A">
            <w:pPr>
              <w:rPr>
                <w:rFonts w:cs="Arial"/>
                <w:szCs w:val="24"/>
              </w:rPr>
            </w:pPr>
            <w:r w:rsidRPr="006739D7">
              <w:rPr>
                <w:rFonts w:cs="Arial"/>
                <w:szCs w:val="24"/>
              </w:rPr>
              <w:t xml:space="preserve">Culturally relevant services are services provided to children and families which </w:t>
            </w:r>
            <w:r>
              <w:rPr>
                <w:rFonts w:cs="Arial"/>
                <w:szCs w:val="24"/>
              </w:rPr>
              <w:t xml:space="preserve">incorporate or embrace </w:t>
            </w:r>
            <w:r w:rsidRPr="006739D7">
              <w:rPr>
                <w:rFonts w:cs="Arial"/>
                <w:szCs w:val="24"/>
              </w:rPr>
              <w:t xml:space="preserve">the unique cultural characteristics of clients from diverse backgrounds. Services are </w:t>
            </w:r>
            <w:r w:rsidRPr="00137400">
              <w:rPr>
                <w:rFonts w:cs="Arial"/>
                <w:szCs w:val="24"/>
              </w:rPr>
              <w:t>tailored</w:t>
            </w:r>
            <w:r w:rsidRPr="006739D7">
              <w:rPr>
                <w:rFonts w:cs="Arial"/>
                <w:szCs w:val="24"/>
              </w:rPr>
              <w:t xml:space="preserve"> to account for this diversity so that the services are relevant from the client’s perspective and appropriately fit the client’s needs. These services enable and empower clients to relate the content of the services to their own cultural contexts. </w:t>
            </w:r>
          </w:p>
          <w:p w:rsidR="00DC21E9" w:rsidRPr="006739D7" w:rsidRDefault="00DC21E9" w:rsidP="00A11A3A">
            <w:pPr>
              <w:rPr>
                <w:rFonts w:cs="Arial"/>
                <w:szCs w:val="24"/>
              </w:rPr>
            </w:pPr>
            <w:r>
              <w:rPr>
                <w:rFonts w:cs="Arial"/>
                <w:szCs w:val="24"/>
              </w:rPr>
              <w:t>(</w:t>
            </w:r>
            <w:r w:rsidRPr="006739D7">
              <w:rPr>
                <w:rFonts w:cs="Arial"/>
                <w:szCs w:val="24"/>
              </w:rPr>
              <w:t>CA-Child and Family Service Review Manual 2014</w:t>
            </w:r>
            <w:r>
              <w:rPr>
                <w:rFonts w:cs="Arial"/>
                <w:szCs w:val="24"/>
              </w:rPr>
              <w:t>)</w:t>
            </w:r>
            <w:r w:rsidRPr="006739D7">
              <w:rPr>
                <w:rFonts w:cs="Arial"/>
                <w:szCs w:val="24"/>
              </w:rPr>
              <w:t xml:space="preserve"> </w:t>
            </w:r>
          </w:p>
          <w:p w:rsidR="00DC21E9" w:rsidRPr="006739D7" w:rsidRDefault="00DC21E9" w:rsidP="00A11A3A">
            <w:pPr>
              <w:rPr>
                <w:rFonts w:cs="Arial"/>
                <w:szCs w:val="24"/>
              </w:rPr>
            </w:pPr>
            <w:r w:rsidRPr="006739D7">
              <w:rPr>
                <w:rFonts w:cs="Arial"/>
                <w:b/>
                <w:szCs w:val="24"/>
              </w:rPr>
              <w:t xml:space="preserve">Website: </w:t>
            </w:r>
            <w:hyperlink r:id="rId10" w:history="1">
              <w:r w:rsidRPr="006739D7">
                <w:rPr>
                  <w:rStyle w:val="Hyperlink"/>
                  <w:rFonts w:cs="Arial"/>
                  <w:szCs w:val="24"/>
                </w:rPr>
                <w:t>http://www.childsworld.ca.gov/res/pdf/CCFSRInstructionManual.pdf</w:t>
              </w:r>
            </w:hyperlink>
          </w:p>
        </w:tc>
        <w:tc>
          <w:tcPr>
            <w:tcW w:w="2538" w:type="dxa"/>
            <w:vMerge/>
          </w:tcPr>
          <w:p w:rsidR="00DC21E9" w:rsidRPr="006739D7" w:rsidRDefault="00DC21E9" w:rsidP="00A11A3A">
            <w:pPr>
              <w:rPr>
                <w:rFonts w:cs="Arial"/>
                <w:szCs w:val="24"/>
              </w:rPr>
            </w:pPr>
          </w:p>
        </w:tc>
      </w:tr>
      <w:tr w:rsidR="007E52D1" w:rsidRPr="00672E4D" w:rsidTr="00DC21E9">
        <w:tc>
          <w:tcPr>
            <w:tcW w:w="2497" w:type="dxa"/>
          </w:tcPr>
          <w:p w:rsidR="007E52D1" w:rsidRPr="00DC21E9" w:rsidRDefault="007E52D1" w:rsidP="00205973">
            <w:pPr>
              <w:pStyle w:val="Default"/>
              <w:rPr>
                <w:rFonts w:ascii="Arial" w:hAnsi="Arial" w:cs="Arial"/>
                <w:b/>
                <w:highlight w:val="yellow"/>
              </w:rPr>
            </w:pPr>
            <w:r w:rsidRPr="00DC21E9">
              <w:rPr>
                <w:rFonts w:ascii="Arial" w:hAnsi="Arial" w:cs="Arial"/>
                <w:b/>
                <w:highlight w:val="yellow"/>
              </w:rPr>
              <w:t>Culturally Relevant Services</w:t>
            </w:r>
          </w:p>
        </w:tc>
        <w:tc>
          <w:tcPr>
            <w:tcW w:w="8866" w:type="dxa"/>
          </w:tcPr>
          <w:p w:rsidR="007E4A7A" w:rsidRPr="00C17A71" w:rsidRDefault="00C17A71" w:rsidP="007E4A7A">
            <w:pPr>
              <w:rPr>
                <w:rFonts w:cs="Arial"/>
                <w:b/>
                <w:szCs w:val="24"/>
                <w:highlight w:val="yellow"/>
              </w:rPr>
            </w:pPr>
            <w:r>
              <w:rPr>
                <w:rFonts w:cs="Arial"/>
                <w:szCs w:val="24"/>
                <w:highlight w:val="yellow"/>
              </w:rPr>
              <w:t>The new culturally relevant services definition is currently being revised to comply with the federal Multiethnic Placement Act.</w:t>
            </w:r>
          </w:p>
        </w:tc>
        <w:tc>
          <w:tcPr>
            <w:tcW w:w="2538" w:type="dxa"/>
            <w:vAlign w:val="center"/>
          </w:tcPr>
          <w:p w:rsidR="007E52D1" w:rsidRPr="00DC21E9" w:rsidRDefault="007E52D1" w:rsidP="00DC21E9">
            <w:pPr>
              <w:jc w:val="center"/>
              <w:rPr>
                <w:rFonts w:cs="Arial"/>
                <w:szCs w:val="24"/>
                <w:highlight w:val="yellow"/>
              </w:rPr>
            </w:pPr>
          </w:p>
        </w:tc>
      </w:tr>
      <w:tr w:rsidR="00DD1C90" w:rsidRPr="00672E4D" w:rsidTr="00F0420C">
        <w:tc>
          <w:tcPr>
            <w:tcW w:w="2497" w:type="dxa"/>
          </w:tcPr>
          <w:p w:rsidR="00DD1C90" w:rsidRPr="00926E2B" w:rsidRDefault="00DD1C90" w:rsidP="00205973">
            <w:pPr>
              <w:rPr>
                <w:rFonts w:cs="Arial"/>
                <w:b/>
                <w:szCs w:val="24"/>
              </w:rPr>
            </w:pPr>
            <w:r w:rsidRPr="00926E2B">
              <w:rPr>
                <w:rFonts w:cs="Arial"/>
                <w:szCs w:val="24"/>
              </w:rPr>
              <w:br w:type="page"/>
            </w:r>
            <w:r w:rsidRPr="00926E2B">
              <w:rPr>
                <w:rFonts w:cs="Arial"/>
                <w:b/>
                <w:szCs w:val="24"/>
              </w:rPr>
              <w:t>Trauma</w:t>
            </w:r>
            <w:r>
              <w:rPr>
                <w:rFonts w:cs="Arial"/>
                <w:b/>
                <w:szCs w:val="24"/>
              </w:rPr>
              <w:t>-</w:t>
            </w:r>
            <w:r w:rsidRPr="00926E2B">
              <w:rPr>
                <w:rFonts w:cs="Arial"/>
                <w:b/>
                <w:szCs w:val="24"/>
              </w:rPr>
              <w:t>Informed</w:t>
            </w:r>
          </w:p>
        </w:tc>
        <w:tc>
          <w:tcPr>
            <w:tcW w:w="8866" w:type="dxa"/>
          </w:tcPr>
          <w:p w:rsidR="00DD1C90" w:rsidRPr="00926E2B" w:rsidRDefault="00DD1C90" w:rsidP="00A11A3A">
            <w:pPr>
              <w:rPr>
                <w:rFonts w:cs="Arial"/>
                <w:szCs w:val="24"/>
              </w:rPr>
            </w:pPr>
            <w:r>
              <w:rPr>
                <w:rFonts w:cs="Arial"/>
                <w:szCs w:val="24"/>
              </w:rPr>
              <w:t>T</w:t>
            </w:r>
            <w:r w:rsidRPr="00926E2B">
              <w:rPr>
                <w:rFonts w:cs="Arial"/>
                <w:szCs w:val="24"/>
              </w:rPr>
              <w:t xml:space="preserve">rauma-informed child welfare system is one in which all parties involved recognize and </w:t>
            </w:r>
            <w:r w:rsidRPr="004B63D5">
              <w:rPr>
                <w:rFonts w:cs="Arial"/>
                <w:szCs w:val="24"/>
              </w:rPr>
              <w:t>respond to</w:t>
            </w:r>
            <w:r w:rsidRPr="00926E2B">
              <w:rPr>
                <w:rFonts w:cs="Arial"/>
                <w:szCs w:val="24"/>
              </w:rPr>
              <w:t xml:space="preserve"> the varying impact of traumatic stress on children, </w:t>
            </w:r>
            <w:r w:rsidR="008438B2">
              <w:rPr>
                <w:rFonts w:cs="Arial"/>
                <w:szCs w:val="24"/>
              </w:rPr>
              <w:t>licensed provider</w:t>
            </w:r>
            <w:r w:rsidRPr="00926E2B">
              <w:rPr>
                <w:rFonts w:cs="Arial"/>
                <w:szCs w:val="24"/>
              </w:rPr>
              <w:t>, families, and those who have contact with the system. Programs and organizations within the system infuse this knowledge, awareness, and skills into their organizational cultures, policies, and practices. They act in collaboration, using the best available science, to facilitate and support resiliency and recovery.</w:t>
            </w:r>
          </w:p>
          <w:p w:rsidR="00DD1C90" w:rsidRPr="00926E2B" w:rsidRDefault="00DD1C90" w:rsidP="00A11A3A">
            <w:pPr>
              <w:rPr>
                <w:rFonts w:cs="Arial"/>
                <w:szCs w:val="24"/>
              </w:rPr>
            </w:pPr>
            <w:r w:rsidRPr="00926E2B">
              <w:rPr>
                <w:rFonts w:cs="Arial"/>
                <w:szCs w:val="24"/>
              </w:rPr>
              <w:t xml:space="preserve">Website: </w:t>
            </w:r>
            <w:hyperlink r:id="rId11" w:history="1">
              <w:r w:rsidRPr="00926E2B">
                <w:rPr>
                  <w:rStyle w:val="Hyperlink"/>
                  <w:rFonts w:cs="Arial"/>
                  <w:szCs w:val="24"/>
                </w:rPr>
                <w:t>http://www.chadwickcenter.org/CTISP/ctisp.htm</w:t>
              </w:r>
            </w:hyperlink>
          </w:p>
        </w:tc>
        <w:tc>
          <w:tcPr>
            <w:tcW w:w="2538" w:type="dxa"/>
          </w:tcPr>
          <w:p w:rsidR="0009585D" w:rsidRPr="0009585D" w:rsidRDefault="0009585D" w:rsidP="004B63D5">
            <w:pPr>
              <w:pStyle w:val="ListParagraph"/>
              <w:ind w:left="352"/>
              <w:rPr>
                <w:rFonts w:cs="Arial"/>
                <w:szCs w:val="24"/>
              </w:rPr>
            </w:pPr>
          </w:p>
        </w:tc>
      </w:tr>
    </w:tbl>
    <w:p w:rsidR="00B52BFF" w:rsidRDefault="00B52BFF" w:rsidP="00F53ED7">
      <w:pPr>
        <w:rPr>
          <w:rFonts w:asciiTheme="minorHAnsi" w:hAnsiTheme="minorHAnsi" w:cs="Arial"/>
          <w:szCs w:val="24"/>
        </w:rPr>
      </w:pPr>
    </w:p>
    <w:sectPr w:rsidR="00B52BFF" w:rsidSect="002B1B3A">
      <w:headerReference w:type="default" r:id="rId12"/>
      <w:footerReference w:type="default" r:id="rId13"/>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D5A" w:rsidRDefault="004F7D5A" w:rsidP="0012477C">
      <w:pPr>
        <w:spacing w:after="0" w:line="240" w:lineRule="auto"/>
      </w:pPr>
      <w:r>
        <w:separator/>
      </w:r>
    </w:p>
  </w:endnote>
  <w:endnote w:type="continuationSeparator" w:id="0">
    <w:p w:rsidR="004F7D5A" w:rsidRDefault="004F7D5A" w:rsidP="00124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375971690"/>
      <w:docPartObj>
        <w:docPartGallery w:val="Page Numbers (Bottom of Page)"/>
        <w:docPartUnique/>
      </w:docPartObj>
    </w:sdtPr>
    <w:sdtEndPr>
      <w:rPr>
        <w:noProof/>
      </w:rPr>
    </w:sdtEndPr>
    <w:sdtContent>
      <w:p w:rsidR="00A11A3A" w:rsidRDefault="00AF70C9">
        <w:pPr>
          <w:pStyle w:val="Footer"/>
          <w:jc w:val="center"/>
        </w:pPr>
        <w:r>
          <w:fldChar w:fldCharType="begin"/>
        </w:r>
        <w:r w:rsidR="00A11A3A">
          <w:instrText xml:space="preserve"> PAGE   \* MERGEFORMAT </w:instrText>
        </w:r>
        <w:r>
          <w:fldChar w:fldCharType="separate"/>
        </w:r>
        <w:r w:rsidR="00902459">
          <w:rPr>
            <w:noProof/>
          </w:rPr>
          <w:t>7</w:t>
        </w:r>
        <w:r>
          <w:rPr>
            <w:noProof/>
          </w:rPr>
          <w:fldChar w:fldCharType="end"/>
        </w:r>
      </w:p>
    </w:sdtContent>
  </w:sdt>
  <w:p w:rsidR="00A11A3A" w:rsidRPr="00463DC7" w:rsidRDefault="00A11A3A">
    <w:pPr>
      <w:pStyle w:val="Footer"/>
      <w:rPr>
        <w:b/>
      </w:rPr>
    </w:pPr>
    <w:r w:rsidRPr="00463DC7">
      <w:rPr>
        <w:b/>
      </w:rPr>
      <w:t>Draft</w:t>
    </w:r>
    <w:r w:rsidR="003675A7">
      <w:rPr>
        <w:b/>
      </w:rPr>
      <w:t xml:space="preserve"> (updated </w:t>
    </w:r>
    <w:r w:rsidR="00F70787">
      <w:rPr>
        <w:b/>
      </w:rPr>
      <w:t>2</w:t>
    </w:r>
    <w:r w:rsidR="00A66850">
      <w:rPr>
        <w:b/>
      </w:rPr>
      <w:t>/</w:t>
    </w:r>
    <w:r w:rsidR="00F70787">
      <w:rPr>
        <w:b/>
      </w:rPr>
      <w:t>2</w:t>
    </w:r>
    <w:r w:rsidR="00A41CB8">
      <w:rPr>
        <w:b/>
      </w:rPr>
      <w:t>6</w:t>
    </w:r>
    <w:r w:rsidR="00C43CBA">
      <w:rPr>
        <w:b/>
      </w:rPr>
      <w:t>/</w:t>
    </w:r>
    <w:r w:rsidR="00F70787">
      <w:rPr>
        <w:b/>
      </w:rPr>
      <w:t>16</w:t>
    </w:r>
    <w:r w:rsidR="003675A7">
      <w:rPr>
        <w:b/>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D5A" w:rsidRDefault="004F7D5A" w:rsidP="0012477C">
      <w:pPr>
        <w:spacing w:after="0" w:line="240" w:lineRule="auto"/>
      </w:pPr>
      <w:r>
        <w:separator/>
      </w:r>
    </w:p>
  </w:footnote>
  <w:footnote w:type="continuationSeparator" w:id="0">
    <w:p w:rsidR="004F7D5A" w:rsidRDefault="004F7D5A" w:rsidP="0012477C">
      <w:pPr>
        <w:spacing w:after="0" w:line="240" w:lineRule="auto"/>
      </w:pPr>
      <w:r>
        <w:continuationSeparator/>
      </w:r>
    </w:p>
  </w:footnote>
  <w:footnote w:id="1">
    <w:p w:rsidR="00BE30F3" w:rsidRDefault="00BE30F3">
      <w:pPr>
        <w:pStyle w:val="FootnoteText"/>
      </w:pPr>
      <w:r>
        <w:rPr>
          <w:rStyle w:val="FootnoteReference"/>
        </w:rPr>
        <w:footnoteRef/>
      </w:r>
      <w:r>
        <w:t xml:space="preserve"> Refer to page 7 for definition for trauma-informed.</w:t>
      </w:r>
    </w:p>
  </w:footnote>
  <w:footnote w:id="2">
    <w:p w:rsidR="00BE30F3" w:rsidRDefault="00BE30F3">
      <w:pPr>
        <w:pStyle w:val="FootnoteText"/>
      </w:pPr>
      <w:r>
        <w:rPr>
          <w:rStyle w:val="FootnoteReference"/>
        </w:rPr>
        <w:footnoteRef/>
      </w:r>
      <w:r>
        <w:t xml:space="preserve"> Refer to page 7 for definition of culturally relevant.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1002083058"/>
      <w:docPartObj>
        <w:docPartGallery w:val="Watermarks"/>
        <w:docPartUnique/>
      </w:docPartObj>
    </w:sdtPr>
    <w:sdtEndPr/>
    <w:sdtContent>
      <w:p w:rsidR="00503BB9" w:rsidRDefault="00902459">
        <w:pPr>
          <w:pStyle w:val="Header"/>
        </w:pPr>
        <w:r>
          <w:rPr>
            <w:noProof/>
            <w:lang w:eastAsia="zh-TW"/>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51"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10D3"/>
    <w:multiLevelType w:val="hybridMultilevel"/>
    <w:tmpl w:val="41387BA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02245CEE"/>
    <w:multiLevelType w:val="hybridMultilevel"/>
    <w:tmpl w:val="B36A78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0B32F7"/>
    <w:multiLevelType w:val="hybridMultilevel"/>
    <w:tmpl w:val="D29AE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565641"/>
    <w:multiLevelType w:val="hybridMultilevel"/>
    <w:tmpl w:val="7414A9B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8CE7233"/>
    <w:multiLevelType w:val="hybridMultilevel"/>
    <w:tmpl w:val="DDDAA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647FB7"/>
    <w:multiLevelType w:val="hybridMultilevel"/>
    <w:tmpl w:val="E25ED8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0D4D7186"/>
    <w:multiLevelType w:val="hybridMultilevel"/>
    <w:tmpl w:val="EC449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2150EE"/>
    <w:multiLevelType w:val="hybridMultilevel"/>
    <w:tmpl w:val="269CB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6859AE"/>
    <w:multiLevelType w:val="hybridMultilevel"/>
    <w:tmpl w:val="4D9CABB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E751D80"/>
    <w:multiLevelType w:val="hybridMultilevel"/>
    <w:tmpl w:val="EC7836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787457"/>
    <w:multiLevelType w:val="hybridMultilevel"/>
    <w:tmpl w:val="17FA1B0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9857D4A"/>
    <w:multiLevelType w:val="hybridMultilevel"/>
    <w:tmpl w:val="51CA3C7C"/>
    <w:lvl w:ilvl="0" w:tplc="A2FE8F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E507394"/>
    <w:multiLevelType w:val="hybridMultilevel"/>
    <w:tmpl w:val="65980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8F5E7C"/>
    <w:multiLevelType w:val="hybridMultilevel"/>
    <w:tmpl w:val="4FC0E556"/>
    <w:lvl w:ilvl="0" w:tplc="7ADE0404">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9B10659"/>
    <w:multiLevelType w:val="hybridMultilevel"/>
    <w:tmpl w:val="7C6E2BF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9B36C2"/>
    <w:multiLevelType w:val="hybridMultilevel"/>
    <w:tmpl w:val="E3D038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841892"/>
    <w:multiLevelType w:val="hybridMultilevel"/>
    <w:tmpl w:val="9B524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B87237"/>
    <w:multiLevelType w:val="hybridMultilevel"/>
    <w:tmpl w:val="9B441C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3B7114"/>
    <w:multiLevelType w:val="hybridMultilevel"/>
    <w:tmpl w:val="9780B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B776EC"/>
    <w:multiLevelType w:val="hybridMultilevel"/>
    <w:tmpl w:val="31FCF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1F4E0E"/>
    <w:multiLevelType w:val="hybridMultilevel"/>
    <w:tmpl w:val="05447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33309E"/>
    <w:multiLevelType w:val="hybridMultilevel"/>
    <w:tmpl w:val="9F7E4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357A19"/>
    <w:multiLevelType w:val="hybridMultilevel"/>
    <w:tmpl w:val="B84A5F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4E51EA"/>
    <w:multiLevelType w:val="hybridMultilevel"/>
    <w:tmpl w:val="A5702B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9A0B63"/>
    <w:multiLevelType w:val="hybridMultilevel"/>
    <w:tmpl w:val="0D9A0F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4F553BF"/>
    <w:multiLevelType w:val="hybridMultilevel"/>
    <w:tmpl w:val="8B384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5E2242"/>
    <w:multiLevelType w:val="hybridMultilevel"/>
    <w:tmpl w:val="ABE866B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6E654AB"/>
    <w:multiLevelType w:val="hybridMultilevel"/>
    <w:tmpl w:val="B2D2C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541D6C"/>
    <w:multiLevelType w:val="hybridMultilevel"/>
    <w:tmpl w:val="E86C1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3B52A0"/>
    <w:multiLevelType w:val="hybridMultilevel"/>
    <w:tmpl w:val="F760A0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nsid w:val="74E13052"/>
    <w:multiLevelType w:val="hybridMultilevel"/>
    <w:tmpl w:val="1230F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CB2B71"/>
    <w:multiLevelType w:val="hybridMultilevel"/>
    <w:tmpl w:val="7332C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247D65"/>
    <w:multiLevelType w:val="hybridMultilevel"/>
    <w:tmpl w:val="8A848D1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11"/>
  </w:num>
  <w:num w:numId="2">
    <w:abstractNumId w:val="24"/>
  </w:num>
  <w:num w:numId="3">
    <w:abstractNumId w:val="9"/>
  </w:num>
  <w:num w:numId="4">
    <w:abstractNumId w:val="29"/>
  </w:num>
  <w:num w:numId="5">
    <w:abstractNumId w:val="1"/>
  </w:num>
  <w:num w:numId="6">
    <w:abstractNumId w:val="13"/>
  </w:num>
  <w:num w:numId="7">
    <w:abstractNumId w:val="31"/>
  </w:num>
  <w:num w:numId="8">
    <w:abstractNumId w:val="18"/>
  </w:num>
  <w:num w:numId="9">
    <w:abstractNumId w:val="21"/>
  </w:num>
  <w:num w:numId="10">
    <w:abstractNumId w:val="19"/>
  </w:num>
  <w:num w:numId="11">
    <w:abstractNumId w:val="15"/>
  </w:num>
  <w:num w:numId="12">
    <w:abstractNumId w:val="23"/>
  </w:num>
  <w:num w:numId="13">
    <w:abstractNumId w:val="25"/>
  </w:num>
  <w:num w:numId="14">
    <w:abstractNumId w:val="22"/>
  </w:num>
  <w:num w:numId="15">
    <w:abstractNumId w:val="26"/>
  </w:num>
  <w:num w:numId="16">
    <w:abstractNumId w:val="8"/>
  </w:num>
  <w:num w:numId="17">
    <w:abstractNumId w:val="14"/>
  </w:num>
  <w:num w:numId="18">
    <w:abstractNumId w:val="10"/>
  </w:num>
  <w:num w:numId="19">
    <w:abstractNumId w:val="3"/>
  </w:num>
  <w:num w:numId="20">
    <w:abstractNumId w:val="5"/>
  </w:num>
  <w:num w:numId="21">
    <w:abstractNumId w:val="6"/>
  </w:num>
  <w:num w:numId="22">
    <w:abstractNumId w:val="28"/>
  </w:num>
  <w:num w:numId="23">
    <w:abstractNumId w:val="2"/>
  </w:num>
  <w:num w:numId="24">
    <w:abstractNumId w:val="27"/>
  </w:num>
  <w:num w:numId="25">
    <w:abstractNumId w:val="7"/>
  </w:num>
  <w:num w:numId="26">
    <w:abstractNumId w:val="4"/>
  </w:num>
  <w:num w:numId="27">
    <w:abstractNumId w:val="16"/>
  </w:num>
  <w:num w:numId="28">
    <w:abstractNumId w:val="20"/>
  </w:num>
  <w:num w:numId="29">
    <w:abstractNumId w:val="12"/>
  </w:num>
  <w:num w:numId="30">
    <w:abstractNumId w:val="30"/>
  </w:num>
  <w:num w:numId="31">
    <w:abstractNumId w:val="0"/>
  </w:num>
  <w:num w:numId="32">
    <w:abstractNumId w:val="32"/>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77C"/>
    <w:rsid w:val="00012209"/>
    <w:rsid w:val="00020D48"/>
    <w:rsid w:val="000219FC"/>
    <w:rsid w:val="00026FE5"/>
    <w:rsid w:val="0003498D"/>
    <w:rsid w:val="00040BEB"/>
    <w:rsid w:val="00040F8D"/>
    <w:rsid w:val="00041F42"/>
    <w:rsid w:val="0004391A"/>
    <w:rsid w:val="00047CC7"/>
    <w:rsid w:val="000703E7"/>
    <w:rsid w:val="0007104C"/>
    <w:rsid w:val="00073EC1"/>
    <w:rsid w:val="000742A4"/>
    <w:rsid w:val="000804CC"/>
    <w:rsid w:val="000832E1"/>
    <w:rsid w:val="0009585D"/>
    <w:rsid w:val="000959F3"/>
    <w:rsid w:val="000A57A8"/>
    <w:rsid w:val="000B61BB"/>
    <w:rsid w:val="000C78FD"/>
    <w:rsid w:val="000D0B00"/>
    <w:rsid w:val="000D339A"/>
    <w:rsid w:val="000E2772"/>
    <w:rsid w:val="000F04A7"/>
    <w:rsid w:val="000F1C1B"/>
    <w:rsid w:val="000F3993"/>
    <w:rsid w:val="00102ED8"/>
    <w:rsid w:val="00104FBD"/>
    <w:rsid w:val="00105B35"/>
    <w:rsid w:val="0010767D"/>
    <w:rsid w:val="00111ACE"/>
    <w:rsid w:val="0012099D"/>
    <w:rsid w:val="0012477C"/>
    <w:rsid w:val="001254F7"/>
    <w:rsid w:val="00125878"/>
    <w:rsid w:val="00131AB0"/>
    <w:rsid w:val="00133691"/>
    <w:rsid w:val="00137400"/>
    <w:rsid w:val="001453BE"/>
    <w:rsid w:val="00153520"/>
    <w:rsid w:val="00186E17"/>
    <w:rsid w:val="001972CD"/>
    <w:rsid w:val="001A4996"/>
    <w:rsid w:val="001A5751"/>
    <w:rsid w:val="001B2AED"/>
    <w:rsid w:val="001B3F5F"/>
    <w:rsid w:val="001C1628"/>
    <w:rsid w:val="001C17A1"/>
    <w:rsid w:val="001C18DE"/>
    <w:rsid w:val="001D1089"/>
    <w:rsid w:val="001D4F7D"/>
    <w:rsid w:val="001E1E1D"/>
    <w:rsid w:val="001E3646"/>
    <w:rsid w:val="001E46B0"/>
    <w:rsid w:val="00200B8D"/>
    <w:rsid w:val="00200BB2"/>
    <w:rsid w:val="00205973"/>
    <w:rsid w:val="002059BB"/>
    <w:rsid w:val="00212F34"/>
    <w:rsid w:val="002150CE"/>
    <w:rsid w:val="00226EEA"/>
    <w:rsid w:val="00227C5C"/>
    <w:rsid w:val="00233BD5"/>
    <w:rsid w:val="00256A13"/>
    <w:rsid w:val="00270B4D"/>
    <w:rsid w:val="0027374B"/>
    <w:rsid w:val="0028244F"/>
    <w:rsid w:val="002855FA"/>
    <w:rsid w:val="00286A2E"/>
    <w:rsid w:val="002A5080"/>
    <w:rsid w:val="002A6E51"/>
    <w:rsid w:val="002B1B3A"/>
    <w:rsid w:val="002C21F5"/>
    <w:rsid w:val="002D0616"/>
    <w:rsid w:val="002E04C1"/>
    <w:rsid w:val="002E3305"/>
    <w:rsid w:val="002E3A6F"/>
    <w:rsid w:val="002F2153"/>
    <w:rsid w:val="002F3A32"/>
    <w:rsid w:val="00310AA1"/>
    <w:rsid w:val="003154D9"/>
    <w:rsid w:val="00344F8D"/>
    <w:rsid w:val="0035041F"/>
    <w:rsid w:val="00355DAC"/>
    <w:rsid w:val="00356E9F"/>
    <w:rsid w:val="003675A7"/>
    <w:rsid w:val="00367D36"/>
    <w:rsid w:val="003715B2"/>
    <w:rsid w:val="00380171"/>
    <w:rsid w:val="003802CD"/>
    <w:rsid w:val="00382513"/>
    <w:rsid w:val="00385D58"/>
    <w:rsid w:val="00387C8B"/>
    <w:rsid w:val="003B2AED"/>
    <w:rsid w:val="003B5EB0"/>
    <w:rsid w:val="003B7FD3"/>
    <w:rsid w:val="003C52D1"/>
    <w:rsid w:val="003C5F3A"/>
    <w:rsid w:val="003C60F2"/>
    <w:rsid w:val="003D05FC"/>
    <w:rsid w:val="003D4F76"/>
    <w:rsid w:val="003E3756"/>
    <w:rsid w:val="003F35AD"/>
    <w:rsid w:val="00404E58"/>
    <w:rsid w:val="00414527"/>
    <w:rsid w:val="00414676"/>
    <w:rsid w:val="004160BD"/>
    <w:rsid w:val="004166DB"/>
    <w:rsid w:val="00424E2E"/>
    <w:rsid w:val="00427BF0"/>
    <w:rsid w:val="0043317F"/>
    <w:rsid w:val="0044426C"/>
    <w:rsid w:val="00447114"/>
    <w:rsid w:val="004512F8"/>
    <w:rsid w:val="004526D9"/>
    <w:rsid w:val="00463A20"/>
    <w:rsid w:val="00463DC7"/>
    <w:rsid w:val="00473159"/>
    <w:rsid w:val="00474844"/>
    <w:rsid w:val="00474D99"/>
    <w:rsid w:val="00492A8B"/>
    <w:rsid w:val="004A792E"/>
    <w:rsid w:val="004B18F4"/>
    <w:rsid w:val="004B3AA0"/>
    <w:rsid w:val="004B63D5"/>
    <w:rsid w:val="004D6E02"/>
    <w:rsid w:val="004E5DC2"/>
    <w:rsid w:val="004F4854"/>
    <w:rsid w:val="004F7D5A"/>
    <w:rsid w:val="00503BB9"/>
    <w:rsid w:val="0051468C"/>
    <w:rsid w:val="0053757D"/>
    <w:rsid w:val="005416B8"/>
    <w:rsid w:val="005570E5"/>
    <w:rsid w:val="00565118"/>
    <w:rsid w:val="00565FA1"/>
    <w:rsid w:val="00576F60"/>
    <w:rsid w:val="00583051"/>
    <w:rsid w:val="005842DA"/>
    <w:rsid w:val="00597E68"/>
    <w:rsid w:val="005B255C"/>
    <w:rsid w:val="005B2BAC"/>
    <w:rsid w:val="005B342B"/>
    <w:rsid w:val="005B591E"/>
    <w:rsid w:val="005C194F"/>
    <w:rsid w:val="005C1C66"/>
    <w:rsid w:val="005C40D1"/>
    <w:rsid w:val="005D4978"/>
    <w:rsid w:val="005E2F54"/>
    <w:rsid w:val="005F31CC"/>
    <w:rsid w:val="005F4363"/>
    <w:rsid w:val="00603894"/>
    <w:rsid w:val="00606621"/>
    <w:rsid w:val="00613291"/>
    <w:rsid w:val="00613DDD"/>
    <w:rsid w:val="006179B4"/>
    <w:rsid w:val="006264C5"/>
    <w:rsid w:val="006268DE"/>
    <w:rsid w:val="00630864"/>
    <w:rsid w:val="00632F72"/>
    <w:rsid w:val="0063546A"/>
    <w:rsid w:val="00636A30"/>
    <w:rsid w:val="00652ABA"/>
    <w:rsid w:val="00654C25"/>
    <w:rsid w:val="00656C1C"/>
    <w:rsid w:val="006677AD"/>
    <w:rsid w:val="00670548"/>
    <w:rsid w:val="00671829"/>
    <w:rsid w:val="006739D7"/>
    <w:rsid w:val="0068451D"/>
    <w:rsid w:val="00686731"/>
    <w:rsid w:val="0068770E"/>
    <w:rsid w:val="00687934"/>
    <w:rsid w:val="00691267"/>
    <w:rsid w:val="006952F6"/>
    <w:rsid w:val="00695948"/>
    <w:rsid w:val="006B764A"/>
    <w:rsid w:val="006C0B10"/>
    <w:rsid w:val="006C556A"/>
    <w:rsid w:val="006D23BB"/>
    <w:rsid w:val="006D7093"/>
    <w:rsid w:val="006F6A60"/>
    <w:rsid w:val="00701711"/>
    <w:rsid w:val="00707064"/>
    <w:rsid w:val="00713AA2"/>
    <w:rsid w:val="00713D39"/>
    <w:rsid w:val="00714B57"/>
    <w:rsid w:val="00722A26"/>
    <w:rsid w:val="00724DDC"/>
    <w:rsid w:val="00735AC6"/>
    <w:rsid w:val="00753885"/>
    <w:rsid w:val="00766778"/>
    <w:rsid w:val="00767257"/>
    <w:rsid w:val="00770A20"/>
    <w:rsid w:val="00771C3E"/>
    <w:rsid w:val="00780E43"/>
    <w:rsid w:val="0078195B"/>
    <w:rsid w:val="00795E5E"/>
    <w:rsid w:val="007B1413"/>
    <w:rsid w:val="007B4DF0"/>
    <w:rsid w:val="007B51AB"/>
    <w:rsid w:val="007B5A84"/>
    <w:rsid w:val="007B75FC"/>
    <w:rsid w:val="007C1B17"/>
    <w:rsid w:val="007C3668"/>
    <w:rsid w:val="007C667B"/>
    <w:rsid w:val="007C7F00"/>
    <w:rsid w:val="007E1703"/>
    <w:rsid w:val="007E1C0C"/>
    <w:rsid w:val="007E4A7A"/>
    <w:rsid w:val="007E52D1"/>
    <w:rsid w:val="007F18E2"/>
    <w:rsid w:val="007F6BAF"/>
    <w:rsid w:val="007F7FAA"/>
    <w:rsid w:val="00803623"/>
    <w:rsid w:val="00811AF0"/>
    <w:rsid w:val="00816B70"/>
    <w:rsid w:val="008271C9"/>
    <w:rsid w:val="00837223"/>
    <w:rsid w:val="00840D5C"/>
    <w:rsid w:val="00842A39"/>
    <w:rsid w:val="008438B2"/>
    <w:rsid w:val="00856074"/>
    <w:rsid w:val="0085666D"/>
    <w:rsid w:val="00856A35"/>
    <w:rsid w:val="0087044B"/>
    <w:rsid w:val="00871DE5"/>
    <w:rsid w:val="00882D24"/>
    <w:rsid w:val="0089465F"/>
    <w:rsid w:val="008A1D4C"/>
    <w:rsid w:val="008B5BD2"/>
    <w:rsid w:val="008C08D2"/>
    <w:rsid w:val="008C3493"/>
    <w:rsid w:val="008C4385"/>
    <w:rsid w:val="008D4023"/>
    <w:rsid w:val="008D4831"/>
    <w:rsid w:val="008D5D60"/>
    <w:rsid w:val="008E47C8"/>
    <w:rsid w:val="00902459"/>
    <w:rsid w:val="00902A3F"/>
    <w:rsid w:val="00903EE9"/>
    <w:rsid w:val="0090476B"/>
    <w:rsid w:val="00926E2B"/>
    <w:rsid w:val="00932150"/>
    <w:rsid w:val="00934CB1"/>
    <w:rsid w:val="00943213"/>
    <w:rsid w:val="00943DD1"/>
    <w:rsid w:val="00943FF0"/>
    <w:rsid w:val="0095115F"/>
    <w:rsid w:val="00962FA3"/>
    <w:rsid w:val="00974F61"/>
    <w:rsid w:val="00977552"/>
    <w:rsid w:val="00980BD9"/>
    <w:rsid w:val="00984B2A"/>
    <w:rsid w:val="00987DA4"/>
    <w:rsid w:val="00991DF2"/>
    <w:rsid w:val="00996C07"/>
    <w:rsid w:val="009A4C6F"/>
    <w:rsid w:val="009A4D70"/>
    <w:rsid w:val="009A5719"/>
    <w:rsid w:val="009B2532"/>
    <w:rsid w:val="009B277C"/>
    <w:rsid w:val="009B2B3A"/>
    <w:rsid w:val="009C0902"/>
    <w:rsid w:val="009C4979"/>
    <w:rsid w:val="009D60DE"/>
    <w:rsid w:val="009E11C5"/>
    <w:rsid w:val="009E22A8"/>
    <w:rsid w:val="009E25D6"/>
    <w:rsid w:val="009F65E8"/>
    <w:rsid w:val="009F71C7"/>
    <w:rsid w:val="009F738A"/>
    <w:rsid w:val="00A05E7E"/>
    <w:rsid w:val="00A10D05"/>
    <w:rsid w:val="00A111A8"/>
    <w:rsid w:val="00A11A3A"/>
    <w:rsid w:val="00A13525"/>
    <w:rsid w:val="00A138F1"/>
    <w:rsid w:val="00A14CB2"/>
    <w:rsid w:val="00A27BC8"/>
    <w:rsid w:val="00A30482"/>
    <w:rsid w:val="00A378F9"/>
    <w:rsid w:val="00A415A1"/>
    <w:rsid w:val="00A41A31"/>
    <w:rsid w:val="00A41CB8"/>
    <w:rsid w:val="00A428F1"/>
    <w:rsid w:val="00A45485"/>
    <w:rsid w:val="00A462FE"/>
    <w:rsid w:val="00A548AD"/>
    <w:rsid w:val="00A6060F"/>
    <w:rsid w:val="00A621C2"/>
    <w:rsid w:val="00A62610"/>
    <w:rsid w:val="00A62EC7"/>
    <w:rsid w:val="00A64309"/>
    <w:rsid w:val="00A66850"/>
    <w:rsid w:val="00A66C24"/>
    <w:rsid w:val="00A72E00"/>
    <w:rsid w:val="00A87569"/>
    <w:rsid w:val="00A9256B"/>
    <w:rsid w:val="00AA02EC"/>
    <w:rsid w:val="00AA1605"/>
    <w:rsid w:val="00AA23AD"/>
    <w:rsid w:val="00AA3758"/>
    <w:rsid w:val="00AB05AB"/>
    <w:rsid w:val="00AB1846"/>
    <w:rsid w:val="00AB5D85"/>
    <w:rsid w:val="00AB6348"/>
    <w:rsid w:val="00AC03A9"/>
    <w:rsid w:val="00AC7D8B"/>
    <w:rsid w:val="00AD7088"/>
    <w:rsid w:val="00AE2043"/>
    <w:rsid w:val="00AE3C4D"/>
    <w:rsid w:val="00AE7FD2"/>
    <w:rsid w:val="00AF14DD"/>
    <w:rsid w:val="00AF70C9"/>
    <w:rsid w:val="00B027C6"/>
    <w:rsid w:val="00B13256"/>
    <w:rsid w:val="00B14326"/>
    <w:rsid w:val="00B155C5"/>
    <w:rsid w:val="00B2139B"/>
    <w:rsid w:val="00B273CF"/>
    <w:rsid w:val="00B307BD"/>
    <w:rsid w:val="00B322B5"/>
    <w:rsid w:val="00B33139"/>
    <w:rsid w:val="00B358F9"/>
    <w:rsid w:val="00B35BBF"/>
    <w:rsid w:val="00B3735C"/>
    <w:rsid w:val="00B47C5D"/>
    <w:rsid w:val="00B52BFF"/>
    <w:rsid w:val="00B650EF"/>
    <w:rsid w:val="00B72546"/>
    <w:rsid w:val="00B8157E"/>
    <w:rsid w:val="00B86E8F"/>
    <w:rsid w:val="00B9398C"/>
    <w:rsid w:val="00BA2DEE"/>
    <w:rsid w:val="00BA4976"/>
    <w:rsid w:val="00BB6686"/>
    <w:rsid w:val="00BC5DB6"/>
    <w:rsid w:val="00BD2288"/>
    <w:rsid w:val="00BD7FC5"/>
    <w:rsid w:val="00BE30F3"/>
    <w:rsid w:val="00BF50AB"/>
    <w:rsid w:val="00BF555F"/>
    <w:rsid w:val="00BF56CA"/>
    <w:rsid w:val="00C01DBD"/>
    <w:rsid w:val="00C05E26"/>
    <w:rsid w:val="00C17A71"/>
    <w:rsid w:val="00C233F8"/>
    <w:rsid w:val="00C3449E"/>
    <w:rsid w:val="00C43CBA"/>
    <w:rsid w:val="00C452AD"/>
    <w:rsid w:val="00C53ADE"/>
    <w:rsid w:val="00C74CFB"/>
    <w:rsid w:val="00C7799C"/>
    <w:rsid w:val="00C81126"/>
    <w:rsid w:val="00C94D67"/>
    <w:rsid w:val="00CA141D"/>
    <w:rsid w:val="00CA60B4"/>
    <w:rsid w:val="00CB1270"/>
    <w:rsid w:val="00CB2E0B"/>
    <w:rsid w:val="00CC52ED"/>
    <w:rsid w:val="00CD39EF"/>
    <w:rsid w:val="00CE1197"/>
    <w:rsid w:val="00CE1EC0"/>
    <w:rsid w:val="00CE4DCC"/>
    <w:rsid w:val="00CE5537"/>
    <w:rsid w:val="00CF4992"/>
    <w:rsid w:val="00CF5C83"/>
    <w:rsid w:val="00D0357C"/>
    <w:rsid w:val="00D11BC4"/>
    <w:rsid w:val="00D14875"/>
    <w:rsid w:val="00D232DA"/>
    <w:rsid w:val="00D23447"/>
    <w:rsid w:val="00D257F1"/>
    <w:rsid w:val="00D25C91"/>
    <w:rsid w:val="00D54A01"/>
    <w:rsid w:val="00D625DA"/>
    <w:rsid w:val="00D63403"/>
    <w:rsid w:val="00D73002"/>
    <w:rsid w:val="00D75624"/>
    <w:rsid w:val="00D84853"/>
    <w:rsid w:val="00D86DD1"/>
    <w:rsid w:val="00D92AEA"/>
    <w:rsid w:val="00D97244"/>
    <w:rsid w:val="00DB7CFE"/>
    <w:rsid w:val="00DC00D7"/>
    <w:rsid w:val="00DC21E9"/>
    <w:rsid w:val="00DC4667"/>
    <w:rsid w:val="00DC5869"/>
    <w:rsid w:val="00DD1C90"/>
    <w:rsid w:val="00DE0A1A"/>
    <w:rsid w:val="00DE5098"/>
    <w:rsid w:val="00DE5867"/>
    <w:rsid w:val="00E006B3"/>
    <w:rsid w:val="00E01AD5"/>
    <w:rsid w:val="00E0686C"/>
    <w:rsid w:val="00E074CC"/>
    <w:rsid w:val="00E30038"/>
    <w:rsid w:val="00E3135A"/>
    <w:rsid w:val="00E313B4"/>
    <w:rsid w:val="00E433B1"/>
    <w:rsid w:val="00E43B2C"/>
    <w:rsid w:val="00E45BDA"/>
    <w:rsid w:val="00E47C35"/>
    <w:rsid w:val="00E53F1A"/>
    <w:rsid w:val="00E6317B"/>
    <w:rsid w:val="00E64A71"/>
    <w:rsid w:val="00E7545A"/>
    <w:rsid w:val="00E8171D"/>
    <w:rsid w:val="00E83148"/>
    <w:rsid w:val="00EA03C3"/>
    <w:rsid w:val="00EA1555"/>
    <w:rsid w:val="00EA2855"/>
    <w:rsid w:val="00EA325A"/>
    <w:rsid w:val="00EA352E"/>
    <w:rsid w:val="00ED593D"/>
    <w:rsid w:val="00ED5A14"/>
    <w:rsid w:val="00EE4164"/>
    <w:rsid w:val="00EE42FD"/>
    <w:rsid w:val="00EE4F8F"/>
    <w:rsid w:val="00EE7CB4"/>
    <w:rsid w:val="00F00A71"/>
    <w:rsid w:val="00F0420C"/>
    <w:rsid w:val="00F23E94"/>
    <w:rsid w:val="00F33F1A"/>
    <w:rsid w:val="00F43122"/>
    <w:rsid w:val="00F50952"/>
    <w:rsid w:val="00F50B3C"/>
    <w:rsid w:val="00F5269F"/>
    <w:rsid w:val="00F53ED7"/>
    <w:rsid w:val="00F643E0"/>
    <w:rsid w:val="00F6677F"/>
    <w:rsid w:val="00F66E15"/>
    <w:rsid w:val="00F70787"/>
    <w:rsid w:val="00F7368D"/>
    <w:rsid w:val="00F9154C"/>
    <w:rsid w:val="00F97AE3"/>
    <w:rsid w:val="00FA15CD"/>
    <w:rsid w:val="00FA3678"/>
    <w:rsid w:val="00FB0487"/>
    <w:rsid w:val="00FC0BDC"/>
    <w:rsid w:val="00FC1740"/>
    <w:rsid w:val="00FC214F"/>
    <w:rsid w:val="00FC4ED3"/>
    <w:rsid w:val="00FC782D"/>
    <w:rsid w:val="00FD364F"/>
    <w:rsid w:val="00FD69A7"/>
    <w:rsid w:val="00FE47D4"/>
    <w:rsid w:val="00FE63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47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247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77C"/>
  </w:style>
  <w:style w:type="paragraph" w:styleId="Footer">
    <w:name w:val="footer"/>
    <w:basedOn w:val="Normal"/>
    <w:link w:val="FooterChar"/>
    <w:uiPriority w:val="99"/>
    <w:unhideWhenUsed/>
    <w:rsid w:val="001247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77C"/>
  </w:style>
  <w:style w:type="paragraph" w:customStyle="1" w:styleId="Default">
    <w:name w:val="Default"/>
    <w:rsid w:val="00233BD5"/>
    <w:pPr>
      <w:autoSpaceDE w:val="0"/>
      <w:autoSpaceDN w:val="0"/>
      <w:adjustRightInd w:val="0"/>
      <w:spacing w:after="0" w:line="240" w:lineRule="auto"/>
    </w:pPr>
    <w:rPr>
      <w:rFonts w:ascii="Times New Roman" w:hAnsi="Times New Roman" w:cs="Times New Roman"/>
      <w:color w:val="000000"/>
      <w:szCs w:val="24"/>
    </w:rPr>
  </w:style>
  <w:style w:type="character" w:styleId="CommentReference">
    <w:name w:val="annotation reference"/>
    <w:basedOn w:val="DefaultParagraphFont"/>
    <w:uiPriority w:val="99"/>
    <w:semiHidden/>
    <w:unhideWhenUsed/>
    <w:rsid w:val="004512F8"/>
    <w:rPr>
      <w:sz w:val="16"/>
      <w:szCs w:val="16"/>
    </w:rPr>
  </w:style>
  <w:style w:type="paragraph" w:styleId="CommentText">
    <w:name w:val="annotation text"/>
    <w:basedOn w:val="Normal"/>
    <w:link w:val="CommentTextChar"/>
    <w:uiPriority w:val="99"/>
    <w:semiHidden/>
    <w:unhideWhenUsed/>
    <w:rsid w:val="004512F8"/>
    <w:pPr>
      <w:spacing w:line="240" w:lineRule="auto"/>
    </w:pPr>
    <w:rPr>
      <w:sz w:val="20"/>
      <w:szCs w:val="20"/>
    </w:rPr>
  </w:style>
  <w:style w:type="character" w:customStyle="1" w:styleId="CommentTextChar">
    <w:name w:val="Comment Text Char"/>
    <w:basedOn w:val="DefaultParagraphFont"/>
    <w:link w:val="CommentText"/>
    <w:uiPriority w:val="99"/>
    <w:semiHidden/>
    <w:rsid w:val="004512F8"/>
    <w:rPr>
      <w:sz w:val="20"/>
      <w:szCs w:val="20"/>
    </w:rPr>
  </w:style>
  <w:style w:type="paragraph" w:styleId="CommentSubject">
    <w:name w:val="annotation subject"/>
    <w:basedOn w:val="CommentText"/>
    <w:next w:val="CommentText"/>
    <w:link w:val="CommentSubjectChar"/>
    <w:uiPriority w:val="99"/>
    <w:semiHidden/>
    <w:unhideWhenUsed/>
    <w:rsid w:val="004512F8"/>
    <w:rPr>
      <w:b/>
      <w:bCs/>
    </w:rPr>
  </w:style>
  <w:style w:type="character" w:customStyle="1" w:styleId="CommentSubjectChar">
    <w:name w:val="Comment Subject Char"/>
    <w:basedOn w:val="CommentTextChar"/>
    <w:link w:val="CommentSubject"/>
    <w:uiPriority w:val="99"/>
    <w:semiHidden/>
    <w:rsid w:val="004512F8"/>
    <w:rPr>
      <w:b/>
      <w:bCs/>
      <w:sz w:val="20"/>
      <w:szCs w:val="20"/>
    </w:rPr>
  </w:style>
  <w:style w:type="paragraph" w:styleId="BalloonText">
    <w:name w:val="Balloon Text"/>
    <w:basedOn w:val="Normal"/>
    <w:link w:val="BalloonTextChar"/>
    <w:uiPriority w:val="99"/>
    <w:semiHidden/>
    <w:unhideWhenUsed/>
    <w:rsid w:val="004512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2F8"/>
    <w:rPr>
      <w:rFonts w:ascii="Tahoma" w:hAnsi="Tahoma" w:cs="Tahoma"/>
      <w:sz w:val="16"/>
      <w:szCs w:val="16"/>
    </w:rPr>
  </w:style>
  <w:style w:type="paragraph" w:styleId="PlainText">
    <w:name w:val="Plain Text"/>
    <w:basedOn w:val="Normal"/>
    <w:link w:val="PlainTextChar"/>
    <w:uiPriority w:val="99"/>
    <w:semiHidden/>
    <w:unhideWhenUsed/>
    <w:rsid w:val="00E433B1"/>
    <w:pPr>
      <w:spacing w:after="0" w:line="240" w:lineRule="auto"/>
    </w:pPr>
    <w:rPr>
      <w:szCs w:val="21"/>
    </w:rPr>
  </w:style>
  <w:style w:type="character" w:customStyle="1" w:styleId="PlainTextChar">
    <w:name w:val="Plain Text Char"/>
    <w:basedOn w:val="DefaultParagraphFont"/>
    <w:link w:val="PlainText"/>
    <w:uiPriority w:val="99"/>
    <w:semiHidden/>
    <w:rsid w:val="00E433B1"/>
    <w:rPr>
      <w:szCs w:val="21"/>
    </w:rPr>
  </w:style>
  <w:style w:type="paragraph" w:styleId="ListParagraph">
    <w:name w:val="List Paragraph"/>
    <w:basedOn w:val="Normal"/>
    <w:uiPriority w:val="34"/>
    <w:qFormat/>
    <w:rsid w:val="00E8171D"/>
    <w:pPr>
      <w:ind w:left="720"/>
      <w:contextualSpacing/>
    </w:pPr>
  </w:style>
  <w:style w:type="paragraph" w:customStyle="1" w:styleId="yiv1181736327msonormal">
    <w:name w:val="yiv1181736327msonormal"/>
    <w:basedOn w:val="Normal"/>
    <w:rsid w:val="00EA352E"/>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unhideWhenUsed/>
    <w:rsid w:val="0053757D"/>
    <w:rPr>
      <w:color w:val="0000FF" w:themeColor="hyperlink"/>
      <w:u w:val="single"/>
    </w:rPr>
  </w:style>
  <w:style w:type="character" w:styleId="Emphasis">
    <w:name w:val="Emphasis"/>
    <w:basedOn w:val="DefaultParagraphFont"/>
    <w:uiPriority w:val="20"/>
    <w:qFormat/>
    <w:rsid w:val="0053757D"/>
    <w:rPr>
      <w:i/>
      <w:iCs/>
    </w:rPr>
  </w:style>
  <w:style w:type="paragraph" w:styleId="EndnoteText">
    <w:name w:val="endnote text"/>
    <w:basedOn w:val="Normal"/>
    <w:link w:val="EndnoteTextChar"/>
    <w:uiPriority w:val="99"/>
    <w:semiHidden/>
    <w:unhideWhenUsed/>
    <w:rsid w:val="0044426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4426C"/>
    <w:rPr>
      <w:sz w:val="20"/>
      <w:szCs w:val="20"/>
    </w:rPr>
  </w:style>
  <w:style w:type="character" w:styleId="EndnoteReference">
    <w:name w:val="endnote reference"/>
    <w:basedOn w:val="DefaultParagraphFont"/>
    <w:uiPriority w:val="99"/>
    <w:semiHidden/>
    <w:unhideWhenUsed/>
    <w:rsid w:val="0044426C"/>
    <w:rPr>
      <w:vertAlign w:val="superscript"/>
    </w:rPr>
  </w:style>
  <w:style w:type="character" w:styleId="Strong">
    <w:name w:val="Strong"/>
    <w:basedOn w:val="DefaultParagraphFont"/>
    <w:uiPriority w:val="22"/>
    <w:qFormat/>
    <w:rsid w:val="00200B8D"/>
    <w:rPr>
      <w:b/>
      <w:bCs/>
    </w:rPr>
  </w:style>
  <w:style w:type="paragraph" w:styleId="Revision">
    <w:name w:val="Revision"/>
    <w:hidden/>
    <w:uiPriority w:val="99"/>
    <w:semiHidden/>
    <w:rsid w:val="00A05E7E"/>
    <w:pPr>
      <w:spacing w:after="0" w:line="240" w:lineRule="auto"/>
    </w:pPr>
  </w:style>
  <w:style w:type="paragraph" w:styleId="FootnoteText">
    <w:name w:val="footnote text"/>
    <w:basedOn w:val="Normal"/>
    <w:link w:val="FootnoteTextChar"/>
    <w:uiPriority w:val="99"/>
    <w:semiHidden/>
    <w:unhideWhenUsed/>
    <w:rsid w:val="00BE30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30F3"/>
    <w:rPr>
      <w:sz w:val="20"/>
      <w:szCs w:val="20"/>
    </w:rPr>
  </w:style>
  <w:style w:type="character" w:styleId="FootnoteReference">
    <w:name w:val="footnote reference"/>
    <w:basedOn w:val="DefaultParagraphFont"/>
    <w:uiPriority w:val="99"/>
    <w:semiHidden/>
    <w:unhideWhenUsed/>
    <w:rsid w:val="00BE30F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47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247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77C"/>
  </w:style>
  <w:style w:type="paragraph" w:styleId="Footer">
    <w:name w:val="footer"/>
    <w:basedOn w:val="Normal"/>
    <w:link w:val="FooterChar"/>
    <w:uiPriority w:val="99"/>
    <w:unhideWhenUsed/>
    <w:rsid w:val="001247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77C"/>
  </w:style>
  <w:style w:type="paragraph" w:customStyle="1" w:styleId="Default">
    <w:name w:val="Default"/>
    <w:rsid w:val="00233BD5"/>
    <w:pPr>
      <w:autoSpaceDE w:val="0"/>
      <w:autoSpaceDN w:val="0"/>
      <w:adjustRightInd w:val="0"/>
      <w:spacing w:after="0" w:line="240" w:lineRule="auto"/>
    </w:pPr>
    <w:rPr>
      <w:rFonts w:ascii="Times New Roman" w:hAnsi="Times New Roman" w:cs="Times New Roman"/>
      <w:color w:val="000000"/>
      <w:szCs w:val="24"/>
    </w:rPr>
  </w:style>
  <w:style w:type="character" w:styleId="CommentReference">
    <w:name w:val="annotation reference"/>
    <w:basedOn w:val="DefaultParagraphFont"/>
    <w:uiPriority w:val="99"/>
    <w:semiHidden/>
    <w:unhideWhenUsed/>
    <w:rsid w:val="004512F8"/>
    <w:rPr>
      <w:sz w:val="16"/>
      <w:szCs w:val="16"/>
    </w:rPr>
  </w:style>
  <w:style w:type="paragraph" w:styleId="CommentText">
    <w:name w:val="annotation text"/>
    <w:basedOn w:val="Normal"/>
    <w:link w:val="CommentTextChar"/>
    <w:uiPriority w:val="99"/>
    <w:semiHidden/>
    <w:unhideWhenUsed/>
    <w:rsid w:val="004512F8"/>
    <w:pPr>
      <w:spacing w:line="240" w:lineRule="auto"/>
    </w:pPr>
    <w:rPr>
      <w:sz w:val="20"/>
      <w:szCs w:val="20"/>
    </w:rPr>
  </w:style>
  <w:style w:type="character" w:customStyle="1" w:styleId="CommentTextChar">
    <w:name w:val="Comment Text Char"/>
    <w:basedOn w:val="DefaultParagraphFont"/>
    <w:link w:val="CommentText"/>
    <w:uiPriority w:val="99"/>
    <w:semiHidden/>
    <w:rsid w:val="004512F8"/>
    <w:rPr>
      <w:sz w:val="20"/>
      <w:szCs w:val="20"/>
    </w:rPr>
  </w:style>
  <w:style w:type="paragraph" w:styleId="CommentSubject">
    <w:name w:val="annotation subject"/>
    <w:basedOn w:val="CommentText"/>
    <w:next w:val="CommentText"/>
    <w:link w:val="CommentSubjectChar"/>
    <w:uiPriority w:val="99"/>
    <w:semiHidden/>
    <w:unhideWhenUsed/>
    <w:rsid w:val="004512F8"/>
    <w:rPr>
      <w:b/>
      <w:bCs/>
    </w:rPr>
  </w:style>
  <w:style w:type="character" w:customStyle="1" w:styleId="CommentSubjectChar">
    <w:name w:val="Comment Subject Char"/>
    <w:basedOn w:val="CommentTextChar"/>
    <w:link w:val="CommentSubject"/>
    <w:uiPriority w:val="99"/>
    <w:semiHidden/>
    <w:rsid w:val="004512F8"/>
    <w:rPr>
      <w:b/>
      <w:bCs/>
      <w:sz w:val="20"/>
      <w:szCs w:val="20"/>
    </w:rPr>
  </w:style>
  <w:style w:type="paragraph" w:styleId="BalloonText">
    <w:name w:val="Balloon Text"/>
    <w:basedOn w:val="Normal"/>
    <w:link w:val="BalloonTextChar"/>
    <w:uiPriority w:val="99"/>
    <w:semiHidden/>
    <w:unhideWhenUsed/>
    <w:rsid w:val="004512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2F8"/>
    <w:rPr>
      <w:rFonts w:ascii="Tahoma" w:hAnsi="Tahoma" w:cs="Tahoma"/>
      <w:sz w:val="16"/>
      <w:szCs w:val="16"/>
    </w:rPr>
  </w:style>
  <w:style w:type="paragraph" w:styleId="PlainText">
    <w:name w:val="Plain Text"/>
    <w:basedOn w:val="Normal"/>
    <w:link w:val="PlainTextChar"/>
    <w:uiPriority w:val="99"/>
    <w:semiHidden/>
    <w:unhideWhenUsed/>
    <w:rsid w:val="00E433B1"/>
    <w:pPr>
      <w:spacing w:after="0" w:line="240" w:lineRule="auto"/>
    </w:pPr>
    <w:rPr>
      <w:szCs w:val="21"/>
    </w:rPr>
  </w:style>
  <w:style w:type="character" w:customStyle="1" w:styleId="PlainTextChar">
    <w:name w:val="Plain Text Char"/>
    <w:basedOn w:val="DefaultParagraphFont"/>
    <w:link w:val="PlainText"/>
    <w:uiPriority w:val="99"/>
    <w:semiHidden/>
    <w:rsid w:val="00E433B1"/>
    <w:rPr>
      <w:szCs w:val="21"/>
    </w:rPr>
  </w:style>
  <w:style w:type="paragraph" w:styleId="ListParagraph">
    <w:name w:val="List Paragraph"/>
    <w:basedOn w:val="Normal"/>
    <w:uiPriority w:val="34"/>
    <w:qFormat/>
    <w:rsid w:val="00E8171D"/>
    <w:pPr>
      <w:ind w:left="720"/>
      <w:contextualSpacing/>
    </w:pPr>
  </w:style>
  <w:style w:type="paragraph" w:customStyle="1" w:styleId="yiv1181736327msonormal">
    <w:name w:val="yiv1181736327msonormal"/>
    <w:basedOn w:val="Normal"/>
    <w:rsid w:val="00EA352E"/>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unhideWhenUsed/>
    <w:rsid w:val="0053757D"/>
    <w:rPr>
      <w:color w:val="0000FF" w:themeColor="hyperlink"/>
      <w:u w:val="single"/>
    </w:rPr>
  </w:style>
  <w:style w:type="character" w:styleId="Emphasis">
    <w:name w:val="Emphasis"/>
    <w:basedOn w:val="DefaultParagraphFont"/>
    <w:uiPriority w:val="20"/>
    <w:qFormat/>
    <w:rsid w:val="0053757D"/>
    <w:rPr>
      <w:i/>
      <w:iCs/>
    </w:rPr>
  </w:style>
  <w:style w:type="paragraph" w:styleId="EndnoteText">
    <w:name w:val="endnote text"/>
    <w:basedOn w:val="Normal"/>
    <w:link w:val="EndnoteTextChar"/>
    <w:uiPriority w:val="99"/>
    <w:semiHidden/>
    <w:unhideWhenUsed/>
    <w:rsid w:val="0044426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4426C"/>
    <w:rPr>
      <w:sz w:val="20"/>
      <w:szCs w:val="20"/>
    </w:rPr>
  </w:style>
  <w:style w:type="character" w:styleId="EndnoteReference">
    <w:name w:val="endnote reference"/>
    <w:basedOn w:val="DefaultParagraphFont"/>
    <w:uiPriority w:val="99"/>
    <w:semiHidden/>
    <w:unhideWhenUsed/>
    <w:rsid w:val="0044426C"/>
    <w:rPr>
      <w:vertAlign w:val="superscript"/>
    </w:rPr>
  </w:style>
  <w:style w:type="character" w:styleId="Strong">
    <w:name w:val="Strong"/>
    <w:basedOn w:val="DefaultParagraphFont"/>
    <w:uiPriority w:val="22"/>
    <w:qFormat/>
    <w:rsid w:val="00200B8D"/>
    <w:rPr>
      <w:b/>
      <w:bCs/>
    </w:rPr>
  </w:style>
  <w:style w:type="paragraph" w:styleId="Revision">
    <w:name w:val="Revision"/>
    <w:hidden/>
    <w:uiPriority w:val="99"/>
    <w:semiHidden/>
    <w:rsid w:val="00A05E7E"/>
    <w:pPr>
      <w:spacing w:after="0" w:line="240" w:lineRule="auto"/>
    </w:pPr>
  </w:style>
  <w:style w:type="paragraph" w:styleId="FootnoteText">
    <w:name w:val="footnote text"/>
    <w:basedOn w:val="Normal"/>
    <w:link w:val="FootnoteTextChar"/>
    <w:uiPriority w:val="99"/>
    <w:semiHidden/>
    <w:unhideWhenUsed/>
    <w:rsid w:val="00BE30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30F3"/>
    <w:rPr>
      <w:sz w:val="20"/>
      <w:szCs w:val="20"/>
    </w:rPr>
  </w:style>
  <w:style w:type="character" w:styleId="FootnoteReference">
    <w:name w:val="footnote reference"/>
    <w:basedOn w:val="DefaultParagraphFont"/>
    <w:uiPriority w:val="99"/>
    <w:semiHidden/>
    <w:unhideWhenUsed/>
    <w:rsid w:val="00BE30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860710">
      <w:bodyDiv w:val="1"/>
      <w:marLeft w:val="0"/>
      <w:marRight w:val="0"/>
      <w:marTop w:val="0"/>
      <w:marBottom w:val="0"/>
      <w:divBdr>
        <w:top w:val="none" w:sz="0" w:space="0" w:color="auto"/>
        <w:left w:val="none" w:sz="0" w:space="0" w:color="auto"/>
        <w:bottom w:val="none" w:sz="0" w:space="0" w:color="auto"/>
        <w:right w:val="none" w:sz="0" w:space="0" w:color="auto"/>
      </w:divBdr>
    </w:div>
    <w:div w:id="919339405">
      <w:bodyDiv w:val="1"/>
      <w:marLeft w:val="0"/>
      <w:marRight w:val="0"/>
      <w:marTop w:val="0"/>
      <w:marBottom w:val="0"/>
      <w:divBdr>
        <w:top w:val="none" w:sz="0" w:space="0" w:color="auto"/>
        <w:left w:val="none" w:sz="0" w:space="0" w:color="auto"/>
        <w:bottom w:val="none" w:sz="0" w:space="0" w:color="auto"/>
        <w:right w:val="none" w:sz="0" w:space="0" w:color="auto"/>
      </w:divBdr>
    </w:div>
    <w:div w:id="1176070765">
      <w:bodyDiv w:val="1"/>
      <w:marLeft w:val="0"/>
      <w:marRight w:val="0"/>
      <w:marTop w:val="0"/>
      <w:marBottom w:val="0"/>
      <w:divBdr>
        <w:top w:val="none" w:sz="0" w:space="0" w:color="auto"/>
        <w:left w:val="none" w:sz="0" w:space="0" w:color="auto"/>
        <w:bottom w:val="none" w:sz="0" w:space="0" w:color="auto"/>
        <w:right w:val="none" w:sz="0" w:space="0" w:color="auto"/>
      </w:divBdr>
    </w:div>
    <w:div w:id="1241057357">
      <w:bodyDiv w:val="1"/>
      <w:marLeft w:val="0"/>
      <w:marRight w:val="0"/>
      <w:marTop w:val="0"/>
      <w:marBottom w:val="0"/>
      <w:divBdr>
        <w:top w:val="none" w:sz="0" w:space="0" w:color="auto"/>
        <w:left w:val="none" w:sz="0" w:space="0" w:color="auto"/>
        <w:bottom w:val="none" w:sz="0" w:space="0" w:color="auto"/>
        <w:right w:val="none" w:sz="0" w:space="0" w:color="auto"/>
      </w:divBdr>
      <w:divsChild>
        <w:div w:id="1580671592">
          <w:marLeft w:val="0"/>
          <w:marRight w:val="0"/>
          <w:marTop w:val="0"/>
          <w:marBottom w:val="0"/>
          <w:divBdr>
            <w:top w:val="none" w:sz="0" w:space="0" w:color="auto"/>
            <w:left w:val="none" w:sz="0" w:space="0" w:color="auto"/>
            <w:bottom w:val="none" w:sz="0" w:space="0" w:color="auto"/>
            <w:right w:val="none" w:sz="0" w:space="0" w:color="auto"/>
          </w:divBdr>
        </w:div>
        <w:div w:id="155659483">
          <w:marLeft w:val="0"/>
          <w:marRight w:val="0"/>
          <w:marTop w:val="0"/>
          <w:marBottom w:val="0"/>
          <w:divBdr>
            <w:top w:val="none" w:sz="0" w:space="0" w:color="auto"/>
            <w:left w:val="none" w:sz="0" w:space="0" w:color="auto"/>
            <w:bottom w:val="none" w:sz="0" w:space="0" w:color="auto"/>
            <w:right w:val="none" w:sz="0" w:space="0" w:color="auto"/>
          </w:divBdr>
        </w:div>
        <w:div w:id="1973054357">
          <w:marLeft w:val="0"/>
          <w:marRight w:val="0"/>
          <w:marTop w:val="0"/>
          <w:marBottom w:val="0"/>
          <w:divBdr>
            <w:top w:val="none" w:sz="0" w:space="0" w:color="auto"/>
            <w:left w:val="none" w:sz="0" w:space="0" w:color="auto"/>
            <w:bottom w:val="none" w:sz="0" w:space="0" w:color="auto"/>
            <w:right w:val="none" w:sz="0" w:space="0" w:color="auto"/>
          </w:divBdr>
        </w:div>
        <w:div w:id="1727684540">
          <w:marLeft w:val="0"/>
          <w:marRight w:val="0"/>
          <w:marTop w:val="0"/>
          <w:marBottom w:val="0"/>
          <w:divBdr>
            <w:top w:val="none" w:sz="0" w:space="0" w:color="auto"/>
            <w:left w:val="none" w:sz="0" w:space="0" w:color="auto"/>
            <w:bottom w:val="none" w:sz="0" w:space="0" w:color="auto"/>
            <w:right w:val="none" w:sz="0" w:space="0" w:color="auto"/>
          </w:divBdr>
        </w:div>
        <w:div w:id="1325553759">
          <w:marLeft w:val="0"/>
          <w:marRight w:val="0"/>
          <w:marTop w:val="0"/>
          <w:marBottom w:val="0"/>
          <w:divBdr>
            <w:top w:val="none" w:sz="0" w:space="0" w:color="auto"/>
            <w:left w:val="none" w:sz="0" w:space="0" w:color="auto"/>
            <w:bottom w:val="none" w:sz="0" w:space="0" w:color="auto"/>
            <w:right w:val="none" w:sz="0" w:space="0" w:color="auto"/>
          </w:divBdr>
        </w:div>
      </w:divsChild>
    </w:div>
    <w:div w:id="180519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8" Type="http://schemas.openxmlformats.org/officeDocument/2006/relationships/endnotes" Target="endnotes.xml"/><Relationship Id="rId18" Type="http://schemas.openxmlformats.org/officeDocument/2006/relationships/customXml" Target="../customXml/item4.xml"/><Relationship Id="rId3" Type="http://schemas.openxmlformats.org/officeDocument/2006/relationships/styles" Target="styles.xml"/><Relationship Id="rId12" Type="http://schemas.openxmlformats.org/officeDocument/2006/relationships/header" Target="header1.xml"/><Relationship Id="rId7" Type="http://schemas.openxmlformats.org/officeDocument/2006/relationships/footnotes" Target="footnotes.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1" Type="http://schemas.openxmlformats.org/officeDocument/2006/relationships/hyperlink" Target="http://www.chadwickcenter.org/CTISP/ctisp.ht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hyperlink" Target="http://www.childsworld.ca.gov/res/pdf/CCFSRInstructionManual.pdf" TargetMode="External"/><Relationship Id="rId1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training.cfsrportal.org/section-4-trauma-child-welfare-system/26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994108A8291441B98783BA4CF0287E" ma:contentTypeVersion="0" ma:contentTypeDescription="Create a new document." ma:contentTypeScope="" ma:versionID="175919415d5c6e53e74e1aa97b295fb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253F15-53DE-4ED2-BD5B-B7ABE42E4B3C}"/>
</file>

<file path=customXml/itemProps2.xml><?xml version="1.0" encoding="utf-8"?>
<ds:datastoreItem xmlns:ds="http://schemas.openxmlformats.org/officeDocument/2006/customXml" ds:itemID="{A16C5C8D-4D13-4B4E-BF44-386038DE53DA}"/>
</file>

<file path=customXml/itemProps3.xml><?xml version="1.0" encoding="utf-8"?>
<ds:datastoreItem xmlns:ds="http://schemas.openxmlformats.org/officeDocument/2006/customXml" ds:itemID="{B0927315-93B1-4147-AF3D-ECBBD98C13D9}"/>
</file>

<file path=customXml/itemProps4.xml><?xml version="1.0" encoding="utf-8"?>
<ds:datastoreItem xmlns:ds="http://schemas.openxmlformats.org/officeDocument/2006/customXml" ds:itemID="{C91A6910-F888-4110-9D6B-AD1B3963223F}"/>
</file>

<file path=docProps/app.xml><?xml version="1.0" encoding="utf-8"?>
<Properties xmlns="http://schemas.openxmlformats.org/officeDocument/2006/extended-properties" xmlns:vt="http://schemas.openxmlformats.org/officeDocument/2006/docPropsVTypes">
  <Template>Normal.dotm</Template>
  <TotalTime>1</TotalTime>
  <Pages>7</Pages>
  <Words>2325</Words>
  <Characters>13253</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CDSS</Company>
  <LinksUpToDate>false</LinksUpToDate>
  <CharactersWithSpaces>15547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Irma Munoz</dc:creator>
  <cp:lastModifiedBy>Elizabeth Laferriere</cp:lastModifiedBy>
  <cp:revision>2</cp:revision>
  <cp:lastPrinted>2015-12-09T16:28:00Z</cp:lastPrinted>
  <dcterms:created xsi:type="dcterms:W3CDTF">2016-02-26T19:53:00Z</dcterms:created>
  <dcterms:modified xsi:type="dcterms:W3CDTF">2016-02-26T19:53:00Z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0x0101005B994108A8291441B98783BA4CF0287E</vt:lpwstr>
  </property>
  <property fmtid="{D5CDD505-2E9C-101B-9397-08002B2CF9AE}" pid="3" name="Order">
    <vt:r8>51600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