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6B" w:rsidRPr="00855C76" w:rsidRDefault="0086146B" w:rsidP="0086146B">
      <w:pPr>
        <w:spacing w:line="240" w:lineRule="auto"/>
        <w:rPr>
          <w:rFonts w:asciiTheme="majorHAnsi" w:hAnsiTheme="majorHAnsi" w:cstheme="majorHAnsi"/>
          <w:b/>
          <w:sz w:val="24"/>
          <w:szCs w:val="24"/>
          <w:u w:val="single"/>
        </w:rPr>
      </w:pPr>
      <w:r>
        <w:rPr>
          <w:rFonts w:asciiTheme="majorHAnsi" w:hAnsiTheme="majorHAnsi" w:cstheme="majorHAnsi"/>
          <w:b/>
          <w:sz w:val="24"/>
          <w:szCs w:val="24"/>
          <w:u w:val="single"/>
        </w:rPr>
        <w:t xml:space="preserve">Appendix A: </w:t>
      </w:r>
      <w:r w:rsidRPr="00855C76">
        <w:rPr>
          <w:rFonts w:asciiTheme="majorHAnsi" w:hAnsiTheme="majorHAnsi" w:cstheme="majorHAnsi"/>
          <w:b/>
          <w:sz w:val="24"/>
          <w:szCs w:val="24"/>
          <w:u w:val="single"/>
        </w:rPr>
        <w:t>PASS Final Report for Beta Test</w:t>
      </w:r>
      <w:r w:rsidRPr="00855C76">
        <w:rPr>
          <w:rFonts w:asciiTheme="majorHAnsi" w:hAnsiTheme="majorHAnsi" w:cstheme="majorHAnsi"/>
          <w:b/>
          <w:sz w:val="24"/>
          <w:szCs w:val="24"/>
          <w:u w:val="single"/>
        </w:rPr>
        <w:tab/>
      </w:r>
      <w:r w:rsidRPr="00855C76">
        <w:rPr>
          <w:rFonts w:asciiTheme="majorHAnsi" w:hAnsiTheme="majorHAnsi" w:cstheme="majorHAnsi"/>
          <w:b/>
          <w:sz w:val="24"/>
          <w:szCs w:val="24"/>
          <w:u w:val="single"/>
        </w:rPr>
        <w:tab/>
      </w:r>
      <w:r w:rsidRPr="00855C76">
        <w:rPr>
          <w:rFonts w:asciiTheme="majorHAnsi" w:hAnsiTheme="majorHAnsi" w:cstheme="majorHAnsi"/>
          <w:b/>
          <w:sz w:val="24"/>
          <w:szCs w:val="24"/>
          <w:u w:val="single"/>
        </w:rPr>
        <w:tab/>
        <w:t xml:space="preserve">   </w:t>
      </w:r>
      <w:r>
        <w:rPr>
          <w:rFonts w:asciiTheme="majorHAnsi" w:hAnsiTheme="majorHAnsi" w:cstheme="majorHAnsi"/>
          <w:b/>
          <w:sz w:val="24"/>
          <w:szCs w:val="24"/>
          <w:u w:val="single"/>
        </w:rPr>
        <w:t xml:space="preserve">                 </w:t>
      </w:r>
      <w:r w:rsidRPr="00855C76">
        <w:rPr>
          <w:rFonts w:asciiTheme="majorHAnsi" w:hAnsiTheme="majorHAnsi" w:cstheme="majorHAnsi"/>
          <w:b/>
          <w:sz w:val="24"/>
          <w:szCs w:val="24"/>
          <w:u w:val="single"/>
        </w:rPr>
        <w:t>Continuous Quality Improvement Division – 10/17/16</w:t>
      </w:r>
    </w:p>
    <w:p w:rsidR="0086146B" w:rsidRPr="00855C76" w:rsidRDefault="0086146B" w:rsidP="0086146B">
      <w:pPr>
        <w:spacing w:line="240" w:lineRule="auto"/>
        <w:rPr>
          <w:rFonts w:asciiTheme="majorHAnsi" w:hAnsiTheme="majorHAnsi" w:cstheme="majorHAnsi"/>
          <w:b/>
          <w:sz w:val="24"/>
          <w:szCs w:val="24"/>
          <w:u w:val="single"/>
        </w:rPr>
      </w:pPr>
    </w:p>
    <w:p w:rsidR="0086146B" w:rsidRPr="00855C76" w:rsidRDefault="0086146B" w:rsidP="0086146B">
      <w:pPr>
        <w:spacing w:line="240" w:lineRule="auto"/>
        <w:ind w:firstLine="720"/>
        <w:rPr>
          <w:rFonts w:asciiTheme="majorHAnsi" w:hAnsiTheme="majorHAnsi" w:cstheme="majorHAnsi"/>
          <w:sz w:val="24"/>
          <w:szCs w:val="24"/>
        </w:rPr>
      </w:pPr>
      <w:r w:rsidRPr="00855C76">
        <w:rPr>
          <w:rFonts w:asciiTheme="majorHAnsi" w:hAnsiTheme="majorHAnsi" w:cstheme="majorHAnsi"/>
          <w:sz w:val="24"/>
          <w:szCs w:val="24"/>
        </w:rPr>
        <w:t xml:space="preserve">Between March 28, 2016, and October 14, 2016, 119 parents had points of contact with PASS. Of these, 98 were screened using the algorithm created for the PASS process. There were five main reasons why 21 of the parents did not complete the screening process: the whereabouts were unknown for eight of them; seven could not be reached (e.g., not returning calls); two refused services (one of these was receiving services through the VA); three were incarcerated; and one was in a detoxification facility and unable to participate. </w:t>
      </w:r>
    </w:p>
    <w:p w:rsidR="0086146B" w:rsidRPr="00855C76" w:rsidRDefault="0086146B" w:rsidP="0086146B">
      <w:pPr>
        <w:spacing w:line="240" w:lineRule="auto"/>
        <w:ind w:firstLine="720"/>
        <w:rPr>
          <w:rFonts w:asciiTheme="majorHAnsi" w:hAnsiTheme="majorHAnsi" w:cstheme="majorHAnsi"/>
          <w:sz w:val="24"/>
          <w:szCs w:val="24"/>
        </w:rPr>
      </w:pPr>
    </w:p>
    <w:p w:rsidR="0086146B" w:rsidRPr="00855C76" w:rsidRDefault="0086146B" w:rsidP="0086146B">
      <w:pPr>
        <w:spacing w:line="240" w:lineRule="auto"/>
        <w:ind w:firstLine="720"/>
        <w:rPr>
          <w:rFonts w:asciiTheme="majorHAnsi" w:hAnsiTheme="majorHAnsi" w:cstheme="majorHAnsi"/>
          <w:sz w:val="24"/>
          <w:szCs w:val="24"/>
        </w:rPr>
      </w:pPr>
      <w:r w:rsidRPr="00855C76">
        <w:rPr>
          <w:rFonts w:asciiTheme="majorHAnsi" w:hAnsiTheme="majorHAnsi" w:cstheme="majorHAnsi"/>
          <w:sz w:val="24"/>
          <w:szCs w:val="24"/>
        </w:rPr>
        <w:t xml:space="preserve">The 98 screenings resulted in 152 referrals to one or more of the three agency partners—Behavioral Health Alcohol &amp; Drug Prevention (ADP), Behavioral Health Screening, Triage, Assessment &amp; Referral Program (STAR), and Beacon Health Services (Beacon).  The dashboard below in Table 1 provides a summary of key outcomes of interest. Tables 2a, 2b, and 2c then provide the details behind the numbers presented in the dashboard.  </w:t>
      </w:r>
    </w:p>
    <w:p w:rsidR="0086146B" w:rsidRPr="00855C76" w:rsidRDefault="0086146B" w:rsidP="0086146B">
      <w:pPr>
        <w:spacing w:line="240" w:lineRule="auto"/>
        <w:rPr>
          <w:rFonts w:asciiTheme="majorHAnsi" w:hAnsiTheme="majorHAnsi" w:cstheme="majorHAnsi"/>
          <w:b/>
          <w:sz w:val="24"/>
          <w:szCs w:val="24"/>
          <w:u w:val="single"/>
        </w:rPr>
      </w:pPr>
    </w:p>
    <w:p w:rsidR="0086146B" w:rsidRPr="00855C76" w:rsidRDefault="0086146B" w:rsidP="0086146B">
      <w:pPr>
        <w:spacing w:line="240" w:lineRule="auto"/>
        <w:rPr>
          <w:rFonts w:asciiTheme="majorHAnsi" w:hAnsiTheme="majorHAnsi" w:cstheme="majorHAnsi"/>
          <w:sz w:val="24"/>
          <w:szCs w:val="24"/>
        </w:rPr>
      </w:pPr>
      <w:r w:rsidRPr="00855C76">
        <w:rPr>
          <w:rFonts w:asciiTheme="majorHAnsi" w:hAnsiTheme="majorHAnsi" w:cstheme="majorHAnsi"/>
          <w:sz w:val="24"/>
          <w:szCs w:val="24"/>
        </w:rPr>
        <w:t>Table 1. Data summary for 119 parents and 152 referrals</w:t>
      </w:r>
    </w:p>
    <w:tbl>
      <w:tblPr>
        <w:tblStyle w:val="MediumShading1-Accent11"/>
        <w:tblW w:w="13230" w:type="dxa"/>
        <w:tblInd w:w="108" w:type="dxa"/>
        <w:tblLayout w:type="fixed"/>
        <w:tblLook w:val="04A0" w:firstRow="1" w:lastRow="0" w:firstColumn="1" w:lastColumn="0" w:noHBand="0" w:noVBand="1"/>
      </w:tblPr>
      <w:tblGrid>
        <w:gridCol w:w="4590"/>
        <w:gridCol w:w="1080"/>
        <w:gridCol w:w="1080"/>
        <w:gridCol w:w="1080"/>
        <w:gridCol w:w="1080"/>
        <w:gridCol w:w="1080"/>
        <w:gridCol w:w="1080"/>
        <w:gridCol w:w="1080"/>
        <w:gridCol w:w="1080"/>
      </w:tblGrid>
      <w:tr w:rsidR="0086146B" w:rsidRPr="00855C76" w:rsidTr="00CB3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sz w:val="22"/>
                <w:szCs w:val="22"/>
              </w:rPr>
            </w:pP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March</w:t>
            </w: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April</w:t>
            </w: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May</w:t>
            </w: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June</w:t>
            </w: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July</w:t>
            </w: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August</w:t>
            </w:r>
          </w:p>
        </w:tc>
        <w:tc>
          <w:tcPr>
            <w:tcW w:w="1080" w:type="dxa"/>
            <w:tcMar>
              <w:left w:w="0" w:type="dxa"/>
              <w:right w:w="0" w:type="dxa"/>
            </w:tcMa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September</w:t>
            </w:r>
          </w:p>
        </w:tc>
        <w:tc>
          <w:tcPr>
            <w:tcW w:w="1080" w:type="dxa"/>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Total</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sz w:val="22"/>
                <w:szCs w:val="22"/>
              </w:rPr>
            </w:pPr>
            <w:r w:rsidRPr="00855C76">
              <w:rPr>
                <w:rFonts w:asciiTheme="majorHAnsi" w:hAnsiTheme="majorHAnsi" w:cstheme="majorHAnsi"/>
                <w:sz w:val="22"/>
                <w:szCs w:val="22"/>
              </w:rPr>
              <w:t>Parents</w:t>
            </w: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80" w:type="dxa"/>
            <w:tcMar>
              <w:left w:w="0" w:type="dxa"/>
              <w:right w:w="0" w:type="dxa"/>
            </w:tcMar>
            <w:vAlign w:val="bottom"/>
          </w:tcPr>
          <w:p w:rsidR="0086146B" w:rsidRPr="00855C76" w:rsidRDefault="0086146B" w:rsidP="00CB3109">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 number of parents touched by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PASS process</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29</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19</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25</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15</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14</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119</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 number of parents screened using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the PASS algorithm</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21</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17</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22</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98</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Percent of parents screened using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the PASS algorithm</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72.4%</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89.5%</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88.0%</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64.3%</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82.4%</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Of parents screened, percent who were </w:t>
            </w:r>
          </w:p>
          <w:p w:rsidR="0086146B" w:rsidRDefault="0086146B" w:rsidP="00CB3109">
            <w:pPr>
              <w:spacing w:line="240" w:lineRule="auto"/>
              <w:rPr>
                <w:rFonts w:asciiTheme="majorHAnsi" w:hAnsiTheme="majorHAnsi" w:cstheme="majorHAnsi"/>
                <w:b w:val="0"/>
                <w:sz w:val="22"/>
                <w:szCs w:val="22"/>
              </w:rPr>
            </w:pPr>
            <w:r>
              <w:rPr>
                <w:rFonts w:asciiTheme="majorHAnsi" w:hAnsiTheme="majorHAnsi" w:cstheme="majorHAnsi"/>
                <w:b w:val="0"/>
                <w:sz w:val="22"/>
                <w:szCs w:val="22"/>
              </w:rPr>
              <w:t xml:space="preserve">    </w:t>
            </w:r>
            <w:r w:rsidRPr="00855C76">
              <w:rPr>
                <w:rFonts w:asciiTheme="majorHAnsi" w:hAnsiTheme="majorHAnsi" w:cstheme="majorHAnsi"/>
                <w:b w:val="0"/>
                <w:sz w:val="22"/>
                <w:szCs w:val="22"/>
              </w:rPr>
              <w:t xml:space="preserve">screened in 5 working days of detention </w:t>
            </w:r>
          </w:p>
          <w:p w:rsidR="0086146B" w:rsidRPr="00855C76" w:rsidRDefault="0086146B" w:rsidP="00CB3109">
            <w:pPr>
              <w:spacing w:line="240" w:lineRule="auto"/>
              <w:rPr>
                <w:rFonts w:asciiTheme="majorHAnsi" w:hAnsiTheme="majorHAnsi" w:cstheme="majorHAnsi"/>
                <w:b w:val="0"/>
                <w:sz w:val="22"/>
                <w:szCs w:val="22"/>
              </w:rPr>
            </w:pPr>
            <w:r>
              <w:rPr>
                <w:rFonts w:asciiTheme="majorHAnsi" w:hAnsiTheme="majorHAnsi" w:cstheme="majorHAnsi"/>
                <w:b w:val="0"/>
                <w:sz w:val="22"/>
                <w:szCs w:val="22"/>
              </w:rPr>
              <w:t xml:space="preserve">    </w:t>
            </w:r>
            <w:r w:rsidRPr="00855C76">
              <w:rPr>
                <w:rFonts w:asciiTheme="majorHAnsi" w:hAnsiTheme="majorHAnsi" w:cstheme="majorHAnsi"/>
                <w:b w:val="0"/>
                <w:sz w:val="22"/>
                <w:szCs w:val="22"/>
              </w:rPr>
              <w:t>hearing</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85.7%</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83.3%</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66.7%</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84.6%</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sz w:val="22"/>
                <w:szCs w:val="22"/>
              </w:rPr>
            </w:pPr>
            <w:r w:rsidRPr="00855C76">
              <w:rPr>
                <w:rFonts w:asciiTheme="majorHAnsi" w:hAnsiTheme="majorHAnsi" w:cstheme="majorHAnsi"/>
                <w:sz w:val="22"/>
                <w:szCs w:val="22"/>
              </w:rPr>
              <w:t>Referrals</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highlight w:val="yellow"/>
              </w:rPr>
            </w:pP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Of parents referred, percent who received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appointments in 5 working days of referral</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62.5%</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88.9%</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81.8%</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87.5%</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85.7%</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86.9%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bCs w:val="0"/>
                <w:sz w:val="22"/>
                <w:szCs w:val="22"/>
              </w:rPr>
            </w:pPr>
            <w:r w:rsidRPr="00855C76">
              <w:rPr>
                <w:rFonts w:asciiTheme="majorHAnsi" w:hAnsiTheme="majorHAnsi" w:cstheme="majorHAnsi"/>
                <w:b w:val="0"/>
                <w:sz w:val="22"/>
                <w:szCs w:val="22"/>
              </w:rPr>
              <w:t xml:space="preserve">    Of parents with appointments, percent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assessed in 5 working days of appointments</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67.5%</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55.6%</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66.7%</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w:t>
            </w:r>
          </w:p>
        </w:tc>
        <w:tc>
          <w:tcPr>
            <w:tcW w:w="1080"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68.9%</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Of parents assessed, percent linked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 services in 5 working days of assessment</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92.3%</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w:t>
            </w:r>
          </w:p>
        </w:tc>
        <w:tc>
          <w:tcPr>
            <w:tcW w:w="1080"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84.8%</w:t>
            </w:r>
          </w:p>
        </w:tc>
      </w:tr>
    </w:tbl>
    <w:p w:rsidR="0086146B" w:rsidRPr="00855C76" w:rsidRDefault="0086146B" w:rsidP="0086146B">
      <w:pPr>
        <w:spacing w:line="240" w:lineRule="auto"/>
        <w:rPr>
          <w:rFonts w:asciiTheme="majorHAnsi" w:hAnsiTheme="majorHAnsi" w:cstheme="majorHAnsi"/>
          <w:b/>
          <w:sz w:val="24"/>
          <w:szCs w:val="24"/>
        </w:rPr>
        <w:sectPr w:rsidR="0086146B" w:rsidRPr="00855C76" w:rsidSect="00CB3109">
          <w:footerReference w:type="default" r:id="rId8"/>
          <w:pgSz w:w="15840" w:h="12240" w:orient="landscape" w:code="1"/>
          <w:pgMar w:top="1440" w:right="1440" w:bottom="1440" w:left="1440" w:header="720" w:footer="720" w:gutter="0"/>
          <w:cols w:space="720"/>
          <w:docGrid w:linePitch="360"/>
        </w:sectPr>
      </w:pPr>
    </w:p>
    <w:p w:rsidR="0086146B" w:rsidRPr="00855C76" w:rsidRDefault="0086146B" w:rsidP="0086146B">
      <w:pPr>
        <w:spacing w:line="240" w:lineRule="auto"/>
        <w:rPr>
          <w:rFonts w:asciiTheme="majorHAnsi" w:hAnsiTheme="majorHAnsi" w:cstheme="majorHAnsi"/>
          <w:sz w:val="24"/>
          <w:szCs w:val="24"/>
        </w:rPr>
      </w:pPr>
      <w:r w:rsidRPr="00855C76">
        <w:rPr>
          <w:rFonts w:asciiTheme="majorHAnsi" w:hAnsiTheme="majorHAnsi" w:cstheme="majorHAnsi"/>
          <w:sz w:val="24"/>
          <w:szCs w:val="24"/>
        </w:rPr>
        <w:lastRenderedPageBreak/>
        <w:t>Table 2a. Detailed data summary for 119 parents touched by PASS and their screenings</w:t>
      </w:r>
    </w:p>
    <w:tbl>
      <w:tblPr>
        <w:tblStyle w:val="MediumShading1-Accent11"/>
        <w:tblW w:w="13140" w:type="dxa"/>
        <w:tblInd w:w="108" w:type="dxa"/>
        <w:tblLayout w:type="fixed"/>
        <w:tblLook w:val="04A0" w:firstRow="1" w:lastRow="0" w:firstColumn="1" w:lastColumn="0" w:noHBand="0" w:noVBand="1"/>
      </w:tblPr>
      <w:tblGrid>
        <w:gridCol w:w="4590"/>
        <w:gridCol w:w="1068"/>
        <w:gridCol w:w="1069"/>
        <w:gridCol w:w="1069"/>
        <w:gridCol w:w="1069"/>
        <w:gridCol w:w="1068"/>
        <w:gridCol w:w="1069"/>
        <w:gridCol w:w="1069"/>
        <w:gridCol w:w="1069"/>
      </w:tblGrid>
      <w:tr w:rsidR="0086146B" w:rsidRPr="00855C76" w:rsidTr="00CB3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sz w:val="22"/>
                <w:szCs w:val="22"/>
              </w:rPr>
            </w:pPr>
          </w:p>
        </w:tc>
        <w:tc>
          <w:tcPr>
            <w:tcW w:w="1068"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March</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April</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May</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June</w:t>
            </w:r>
          </w:p>
        </w:tc>
        <w:tc>
          <w:tcPr>
            <w:tcW w:w="1068"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July</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August</w:t>
            </w:r>
          </w:p>
        </w:tc>
        <w:tc>
          <w:tcPr>
            <w:tcW w:w="1069" w:type="dxa"/>
            <w:tcMar>
              <w:left w:w="0" w:type="dxa"/>
              <w:right w:w="0" w:type="dxa"/>
            </w:tcMar>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September</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Total</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Number of parents touched by PASS (N=119)</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19</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25</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Parents touched who were screened (N=119)</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21</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Yes</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22</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98</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 (same as number touched)</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29</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19</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25</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Percent</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72.4%</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89.5%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88.0%</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64.3%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82.4%</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Screened in 5 working days of detention (N=98)</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Yes</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44</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 </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14</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52</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Percent</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85.7%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83.3%</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66.7%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84.6%</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Not applicable</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21</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Missing</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25</w:t>
            </w:r>
          </w:p>
        </w:tc>
      </w:tr>
    </w:tbl>
    <w:p w:rsidR="0086146B" w:rsidRPr="00855C76" w:rsidRDefault="0086146B" w:rsidP="0086146B">
      <w:pPr>
        <w:spacing w:line="240" w:lineRule="auto"/>
        <w:rPr>
          <w:rFonts w:asciiTheme="majorHAnsi" w:hAnsiTheme="majorHAnsi" w:cstheme="majorHAnsi"/>
          <w:sz w:val="24"/>
          <w:szCs w:val="24"/>
        </w:rPr>
      </w:pPr>
    </w:p>
    <w:p w:rsidR="0086146B" w:rsidRPr="00855C76" w:rsidRDefault="0086146B" w:rsidP="0086146B">
      <w:pPr>
        <w:spacing w:line="240" w:lineRule="auto"/>
        <w:ind w:firstLine="720"/>
        <w:rPr>
          <w:rFonts w:asciiTheme="majorHAnsi" w:hAnsiTheme="majorHAnsi" w:cstheme="majorHAnsi"/>
          <w:sz w:val="24"/>
          <w:szCs w:val="24"/>
        </w:rPr>
      </w:pPr>
      <w:r w:rsidRPr="00855C76">
        <w:rPr>
          <w:rFonts w:asciiTheme="majorHAnsi" w:hAnsiTheme="majorHAnsi" w:cstheme="majorHAnsi"/>
          <w:sz w:val="24"/>
          <w:szCs w:val="24"/>
        </w:rPr>
        <w:t>The referral data in Table 2b below were collected from social workers with a yes/no response option. The data are displayed in a separate table because data in the other tables were calculated by the CQI division based on dates of detentions, screenings, appointments, assessments, and linkages to services as available on the PASS screening/referral forms. The referral dates available on these forms were used to calculate time to referrals but the results did not reconcile with the data provided by the social workers. In some cases, the referral dates noted by the social workers on the forms did not match with the dates indicated by the emailed referrals sent to providers, which is why the proportions for the months of May, July, and August in Table 2b are higher than the proportions of screenings in five days displayed in Table 2a.</w:t>
      </w:r>
    </w:p>
    <w:p w:rsidR="0086146B" w:rsidRPr="00855C76" w:rsidRDefault="0086146B" w:rsidP="0086146B">
      <w:pPr>
        <w:spacing w:line="240" w:lineRule="auto"/>
        <w:rPr>
          <w:rFonts w:asciiTheme="majorHAnsi" w:hAnsiTheme="majorHAnsi" w:cstheme="majorHAnsi"/>
          <w:sz w:val="24"/>
          <w:szCs w:val="24"/>
        </w:rPr>
      </w:pPr>
    </w:p>
    <w:p w:rsidR="0086146B" w:rsidRPr="00855C76" w:rsidRDefault="0086146B" w:rsidP="0086146B">
      <w:pPr>
        <w:spacing w:line="240" w:lineRule="auto"/>
        <w:rPr>
          <w:rFonts w:asciiTheme="majorHAnsi" w:hAnsiTheme="majorHAnsi" w:cstheme="majorHAnsi"/>
          <w:sz w:val="24"/>
          <w:szCs w:val="24"/>
        </w:rPr>
      </w:pPr>
      <w:r w:rsidRPr="00855C76">
        <w:rPr>
          <w:rFonts w:asciiTheme="majorHAnsi" w:hAnsiTheme="majorHAnsi" w:cstheme="majorHAnsi"/>
          <w:sz w:val="24"/>
          <w:szCs w:val="24"/>
        </w:rPr>
        <w:t>Table 2b. Detailed data summary for 98 parents and referrals in 5 working days</w:t>
      </w:r>
    </w:p>
    <w:tbl>
      <w:tblPr>
        <w:tblStyle w:val="MediumShading1-Accent11"/>
        <w:tblW w:w="13140" w:type="dxa"/>
        <w:tblInd w:w="108" w:type="dxa"/>
        <w:tblLayout w:type="fixed"/>
        <w:tblLook w:val="04A0" w:firstRow="1" w:lastRow="0" w:firstColumn="1" w:lastColumn="0" w:noHBand="0" w:noVBand="1"/>
      </w:tblPr>
      <w:tblGrid>
        <w:gridCol w:w="4590"/>
        <w:gridCol w:w="1068"/>
        <w:gridCol w:w="1069"/>
        <w:gridCol w:w="1069"/>
        <w:gridCol w:w="1069"/>
        <w:gridCol w:w="1068"/>
        <w:gridCol w:w="1069"/>
        <w:gridCol w:w="1069"/>
        <w:gridCol w:w="1069"/>
      </w:tblGrid>
      <w:tr w:rsidR="0086146B" w:rsidRPr="00855C76" w:rsidTr="00CB3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sz w:val="22"/>
                <w:szCs w:val="22"/>
              </w:rPr>
            </w:pPr>
          </w:p>
        </w:tc>
        <w:tc>
          <w:tcPr>
            <w:tcW w:w="1068"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March</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April</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May</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June</w:t>
            </w:r>
          </w:p>
        </w:tc>
        <w:tc>
          <w:tcPr>
            <w:tcW w:w="1068"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July</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August</w:t>
            </w:r>
          </w:p>
        </w:tc>
        <w:tc>
          <w:tcPr>
            <w:tcW w:w="1069" w:type="dxa"/>
            <w:tcMar>
              <w:left w:w="0" w:type="dxa"/>
              <w:right w:w="0" w:type="dxa"/>
            </w:tcMar>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September</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Total</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Parents screened (N=98)</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22</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98</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Referrals in 5 working days of detention, </w:t>
            </w:r>
          </w:p>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according to CFS social worker</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highlight w:val="yellow"/>
              </w:rPr>
            </w:pP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15</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Yes</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54</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18</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lastRenderedPageBreak/>
              <w:t xml:space="preserve">     Percent out of Total</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72.2%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81.3%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72.7%</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83.3%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83.3%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78.3%</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Not applicable</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27</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Missing</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r>
    </w:tbl>
    <w:p w:rsidR="0086146B" w:rsidRPr="00855C76" w:rsidRDefault="0086146B" w:rsidP="0086146B">
      <w:pPr>
        <w:spacing w:line="240" w:lineRule="auto"/>
        <w:rPr>
          <w:rFonts w:asciiTheme="majorHAnsi" w:hAnsiTheme="majorHAnsi" w:cstheme="majorHAnsi"/>
          <w:sz w:val="24"/>
          <w:szCs w:val="24"/>
        </w:rPr>
      </w:pPr>
    </w:p>
    <w:p w:rsidR="0086146B" w:rsidRPr="00855C76" w:rsidRDefault="0086146B" w:rsidP="0086146B">
      <w:pPr>
        <w:spacing w:line="240" w:lineRule="auto"/>
        <w:rPr>
          <w:rFonts w:asciiTheme="majorHAnsi" w:hAnsiTheme="majorHAnsi" w:cstheme="majorHAnsi"/>
          <w:sz w:val="24"/>
          <w:szCs w:val="24"/>
        </w:rPr>
      </w:pPr>
    </w:p>
    <w:p w:rsidR="0086146B" w:rsidRPr="00855C76" w:rsidRDefault="0086146B" w:rsidP="0086146B">
      <w:pPr>
        <w:spacing w:line="240" w:lineRule="auto"/>
        <w:rPr>
          <w:rFonts w:asciiTheme="majorHAnsi" w:hAnsiTheme="majorHAnsi" w:cstheme="majorHAnsi"/>
          <w:sz w:val="24"/>
          <w:szCs w:val="24"/>
        </w:rPr>
      </w:pPr>
      <w:r w:rsidRPr="00855C76">
        <w:rPr>
          <w:rFonts w:asciiTheme="majorHAnsi" w:hAnsiTheme="majorHAnsi" w:cstheme="majorHAnsi"/>
          <w:sz w:val="24"/>
          <w:szCs w:val="24"/>
        </w:rPr>
        <w:t>Table 2c. Detailed data summary for 152 referrals</w:t>
      </w:r>
    </w:p>
    <w:tbl>
      <w:tblPr>
        <w:tblStyle w:val="MediumShading1-Accent11"/>
        <w:tblW w:w="13140" w:type="dxa"/>
        <w:tblInd w:w="108" w:type="dxa"/>
        <w:tblLayout w:type="fixed"/>
        <w:tblLook w:val="04A0" w:firstRow="1" w:lastRow="0" w:firstColumn="1" w:lastColumn="0" w:noHBand="0" w:noVBand="1"/>
      </w:tblPr>
      <w:tblGrid>
        <w:gridCol w:w="4590"/>
        <w:gridCol w:w="1068"/>
        <w:gridCol w:w="1069"/>
        <w:gridCol w:w="1069"/>
        <w:gridCol w:w="1069"/>
        <w:gridCol w:w="1068"/>
        <w:gridCol w:w="1069"/>
        <w:gridCol w:w="1069"/>
        <w:gridCol w:w="1069"/>
      </w:tblGrid>
      <w:tr w:rsidR="0086146B" w:rsidRPr="00855C76" w:rsidTr="00CB3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86146B" w:rsidRPr="00855C76" w:rsidRDefault="0086146B" w:rsidP="00CB3109">
            <w:pPr>
              <w:spacing w:line="240" w:lineRule="auto"/>
              <w:rPr>
                <w:rFonts w:asciiTheme="majorHAnsi" w:hAnsiTheme="majorHAnsi" w:cstheme="majorHAnsi"/>
                <w:sz w:val="22"/>
                <w:szCs w:val="22"/>
              </w:rPr>
            </w:pPr>
          </w:p>
        </w:tc>
        <w:tc>
          <w:tcPr>
            <w:tcW w:w="1068"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March</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April</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May</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June</w:t>
            </w:r>
          </w:p>
        </w:tc>
        <w:tc>
          <w:tcPr>
            <w:tcW w:w="1068"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July</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August</w:t>
            </w:r>
          </w:p>
        </w:tc>
        <w:tc>
          <w:tcPr>
            <w:tcW w:w="1069" w:type="dxa"/>
            <w:tcMar>
              <w:left w:w="0" w:type="dxa"/>
              <w:right w:w="0" w:type="dxa"/>
            </w:tcMar>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September</w:t>
            </w:r>
          </w:p>
        </w:tc>
        <w:tc>
          <w:tcPr>
            <w:tcW w:w="1069" w:type="dxa"/>
            <w:vAlign w:val="center"/>
          </w:tcPr>
          <w:p w:rsidR="0086146B" w:rsidRPr="00855C76" w:rsidRDefault="0086146B" w:rsidP="00CB310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855C76">
              <w:rPr>
                <w:rFonts w:asciiTheme="majorHAnsi" w:hAnsiTheme="majorHAnsi" w:cstheme="majorHAnsi"/>
                <w:sz w:val="22"/>
                <w:szCs w:val="22"/>
              </w:rPr>
              <w:t>Total</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Appointment in 5 working days (N=152)</w:t>
            </w:r>
          </w:p>
        </w:tc>
        <w:tc>
          <w:tcPr>
            <w:tcW w:w="1068"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8"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c>
          <w:tcPr>
            <w:tcW w:w="1069" w:type="dxa"/>
            <w:tcMar>
              <w:left w:w="0" w:type="dxa"/>
              <w:right w:w="432"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Yes</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53</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16</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61</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Percent out of Total</w:t>
            </w:r>
          </w:p>
        </w:tc>
        <w:tc>
          <w:tcPr>
            <w:tcW w:w="1068" w:type="dxa"/>
            <w:tcMar>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62.5%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88.9%</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81.8%</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87.5%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85.7%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86.9%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Pending</w:t>
            </w:r>
          </w:p>
        </w:tc>
        <w:tc>
          <w:tcPr>
            <w:tcW w:w="1068" w:type="dxa"/>
            <w:tcMar>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10</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Not applicable</w:t>
            </w:r>
          </w:p>
        </w:tc>
        <w:tc>
          <w:tcPr>
            <w:tcW w:w="1068" w:type="dxa"/>
            <w:tcMar>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22</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76</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Missing </w:t>
            </w:r>
          </w:p>
        </w:tc>
        <w:tc>
          <w:tcPr>
            <w:tcW w:w="1068" w:type="dxa"/>
            <w:tcMar>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5</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Assessment in 5 working days (N=152)</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14</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Yes</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31</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45</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Percent out of Total</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67.5%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55.6%</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66.7%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68.9%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Pending</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10</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Not Applicable</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17</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24</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89</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Missing </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Linked to services in 5 working days (N=152)</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highlight w:val="yellow"/>
              </w:rPr>
            </w:pP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5</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Yes</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28</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Total</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33</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Percent out of Total</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71.4%</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92.3%</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80.0%</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100.0%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84.8%</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Pending</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7</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10</w:t>
            </w:r>
          </w:p>
        </w:tc>
      </w:tr>
      <w:tr w:rsidR="0086146B" w:rsidRPr="00855C76" w:rsidTr="00CB3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Not Applicable</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20</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19</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26</w:t>
            </w:r>
          </w:p>
        </w:tc>
        <w:tc>
          <w:tcPr>
            <w:tcW w:w="1068"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12</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5</w:t>
            </w:r>
          </w:p>
        </w:tc>
        <w:tc>
          <w:tcPr>
            <w:tcW w:w="1069" w:type="dxa"/>
            <w:tcMar>
              <w:left w:w="0" w:type="dxa"/>
              <w:right w:w="0" w:type="dxa"/>
            </w:tcMar>
            <w:vAlign w:val="center"/>
          </w:tcPr>
          <w:p w:rsidR="0086146B" w:rsidRPr="00855C76" w:rsidRDefault="0086146B" w:rsidP="00CB310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98</w:t>
            </w:r>
          </w:p>
        </w:tc>
      </w:tr>
      <w:tr w:rsidR="0086146B" w:rsidRPr="00855C76" w:rsidTr="00CB31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vAlign w:val="center"/>
          </w:tcPr>
          <w:p w:rsidR="0086146B" w:rsidRPr="00855C76" w:rsidRDefault="0086146B" w:rsidP="00CB3109">
            <w:pPr>
              <w:spacing w:line="240" w:lineRule="auto"/>
              <w:rPr>
                <w:rFonts w:asciiTheme="majorHAnsi" w:hAnsiTheme="majorHAnsi" w:cstheme="majorHAnsi"/>
                <w:b w:val="0"/>
                <w:sz w:val="22"/>
                <w:szCs w:val="22"/>
              </w:rPr>
            </w:pPr>
            <w:r w:rsidRPr="00855C76">
              <w:rPr>
                <w:rFonts w:asciiTheme="majorHAnsi" w:hAnsiTheme="majorHAnsi" w:cstheme="majorHAnsi"/>
                <w:b w:val="0"/>
                <w:sz w:val="22"/>
                <w:szCs w:val="22"/>
              </w:rPr>
              <w:t xml:space="preserve">     Missing </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3</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4</w:t>
            </w:r>
          </w:p>
        </w:tc>
        <w:tc>
          <w:tcPr>
            <w:tcW w:w="1068"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2</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1</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sz w:val="22"/>
                <w:szCs w:val="22"/>
              </w:rPr>
            </w:pPr>
            <w:r w:rsidRPr="00855C76">
              <w:rPr>
                <w:rFonts w:asciiTheme="majorHAnsi" w:eastAsia="Times New Roman" w:hAnsiTheme="majorHAnsi" w:cstheme="majorHAnsi"/>
                <w:color w:val="000000"/>
                <w:sz w:val="22"/>
                <w:szCs w:val="22"/>
              </w:rPr>
              <w:t>0</w:t>
            </w:r>
          </w:p>
        </w:tc>
        <w:tc>
          <w:tcPr>
            <w:tcW w:w="1069" w:type="dxa"/>
            <w:tcMar>
              <w:left w:w="0" w:type="dxa"/>
              <w:right w:w="0" w:type="dxa"/>
            </w:tcMar>
            <w:vAlign w:val="center"/>
          </w:tcPr>
          <w:p w:rsidR="0086146B" w:rsidRPr="00855C76" w:rsidRDefault="0086146B" w:rsidP="00CB3109">
            <w:pPr>
              <w:spacing w:line="240"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sz w:val="22"/>
                <w:szCs w:val="22"/>
              </w:rPr>
            </w:pPr>
            <w:r w:rsidRPr="00855C76">
              <w:rPr>
                <w:rFonts w:asciiTheme="majorHAnsi" w:hAnsiTheme="majorHAnsi" w:cstheme="majorHAnsi"/>
                <w:color w:val="000000"/>
                <w:sz w:val="22"/>
                <w:szCs w:val="22"/>
              </w:rPr>
              <w:t>11</w:t>
            </w:r>
          </w:p>
        </w:tc>
      </w:tr>
    </w:tbl>
    <w:p w:rsidR="0086146B" w:rsidRPr="0086146B" w:rsidRDefault="0086146B" w:rsidP="00907161">
      <w:pPr>
        <w:tabs>
          <w:tab w:val="left" w:pos="12182"/>
        </w:tabs>
        <w:rPr>
          <w:rFonts w:asciiTheme="majorHAnsi" w:hAnsiTheme="majorHAnsi"/>
          <w:sz w:val="24"/>
          <w:szCs w:val="24"/>
        </w:rPr>
      </w:pPr>
      <w:bookmarkStart w:id="0" w:name="_GoBack"/>
      <w:bookmarkEnd w:id="0"/>
    </w:p>
    <w:sectPr w:rsidR="0086146B" w:rsidRPr="0086146B" w:rsidSect="009071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9B" w:rsidRDefault="0042449B" w:rsidP="00F138C9">
      <w:pPr>
        <w:spacing w:line="240" w:lineRule="auto"/>
      </w:pPr>
      <w:r>
        <w:separator/>
      </w:r>
    </w:p>
  </w:endnote>
  <w:endnote w:type="continuationSeparator" w:id="0">
    <w:p w:rsidR="0042449B" w:rsidRDefault="0042449B" w:rsidP="00F13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949070"/>
      <w:docPartObj>
        <w:docPartGallery w:val="Page Numbers (Bottom of Page)"/>
        <w:docPartUnique/>
      </w:docPartObj>
    </w:sdtPr>
    <w:sdtEndPr>
      <w:rPr>
        <w:rFonts w:ascii="Garamond" w:hAnsi="Garamond"/>
      </w:rPr>
    </w:sdtEndPr>
    <w:sdtContent>
      <w:p w:rsidR="00CB3109" w:rsidRPr="007E4A58" w:rsidRDefault="003A2843">
        <w:pPr>
          <w:pStyle w:val="Footer"/>
          <w:jc w:val="right"/>
          <w:rPr>
            <w:rFonts w:ascii="Garamond" w:hAnsi="Garamond"/>
          </w:rPr>
        </w:pPr>
        <w:r w:rsidRPr="007E4A58">
          <w:rPr>
            <w:rFonts w:ascii="Garamond" w:hAnsi="Garamond"/>
          </w:rPr>
          <w:fldChar w:fldCharType="begin"/>
        </w:r>
        <w:r w:rsidR="00CB3109" w:rsidRPr="007E4A58">
          <w:rPr>
            <w:rFonts w:ascii="Garamond" w:hAnsi="Garamond"/>
          </w:rPr>
          <w:instrText xml:space="preserve"> PAGE   \* MERGEFORMAT </w:instrText>
        </w:r>
        <w:r w:rsidRPr="007E4A58">
          <w:rPr>
            <w:rFonts w:ascii="Garamond" w:hAnsi="Garamond"/>
          </w:rPr>
          <w:fldChar w:fldCharType="separate"/>
        </w:r>
        <w:r w:rsidR="00907161">
          <w:rPr>
            <w:rFonts w:ascii="Garamond" w:hAnsi="Garamond"/>
            <w:noProof/>
          </w:rPr>
          <w:t>1</w:t>
        </w:r>
        <w:r w:rsidRPr="007E4A58">
          <w:rPr>
            <w:rFonts w:ascii="Garamond" w:hAnsi="Garamond"/>
          </w:rPr>
          <w:fldChar w:fldCharType="end"/>
        </w:r>
      </w:p>
    </w:sdtContent>
  </w:sdt>
  <w:p w:rsidR="00CB3109" w:rsidRDefault="00CB3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9B" w:rsidRDefault="0042449B" w:rsidP="00F138C9">
      <w:pPr>
        <w:spacing w:line="240" w:lineRule="auto"/>
      </w:pPr>
      <w:r>
        <w:separator/>
      </w:r>
    </w:p>
  </w:footnote>
  <w:footnote w:type="continuationSeparator" w:id="0">
    <w:p w:rsidR="0042449B" w:rsidRDefault="0042449B" w:rsidP="00F138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510F"/>
      </v:shape>
    </w:pict>
  </w:numPicBullet>
  <w:abstractNum w:abstractNumId="0" w15:restartNumberingAfterBreak="0">
    <w:nsid w:val="031C75D6"/>
    <w:multiLevelType w:val="hybridMultilevel"/>
    <w:tmpl w:val="12883368"/>
    <w:lvl w:ilvl="0" w:tplc="99FAAC08">
      <w:start w:val="1"/>
      <w:numFmt w:val="bullet"/>
      <w:pStyle w:val="Bullet1"/>
      <w:lvlText w:val=""/>
      <w:lvlJc w:val="left"/>
      <w:pPr>
        <w:ind w:left="720" w:hanging="360"/>
      </w:pPr>
      <w:rPr>
        <w:rFonts w:ascii="Symbol" w:hAnsi="Symbol" w:hint="default"/>
        <w:b/>
        <w:bCs/>
        <w:i w:val="0"/>
        <w:iCs w:val="0"/>
        <w:color w:val="4F81BD"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289F"/>
    <w:multiLevelType w:val="hybridMultilevel"/>
    <w:tmpl w:val="2986627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6272F4"/>
    <w:multiLevelType w:val="hybridMultilevel"/>
    <w:tmpl w:val="79EE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F05FA"/>
    <w:multiLevelType w:val="hybridMultilevel"/>
    <w:tmpl w:val="ED42A630"/>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 w15:restartNumberingAfterBreak="0">
    <w:nsid w:val="1DF501D8"/>
    <w:multiLevelType w:val="hybridMultilevel"/>
    <w:tmpl w:val="B334502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2F6786C"/>
    <w:multiLevelType w:val="hybridMultilevel"/>
    <w:tmpl w:val="333AC78C"/>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6" w15:restartNumberingAfterBreak="0">
    <w:nsid w:val="26B80A4D"/>
    <w:multiLevelType w:val="hybridMultilevel"/>
    <w:tmpl w:val="DEDA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235F"/>
    <w:multiLevelType w:val="hybridMultilevel"/>
    <w:tmpl w:val="424CE0F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26D065C"/>
    <w:multiLevelType w:val="hybridMultilevel"/>
    <w:tmpl w:val="303820FA"/>
    <w:lvl w:ilvl="0" w:tplc="9B2216E2">
      <w:start w:val="1"/>
      <w:numFmt w:val="bullet"/>
      <w:pStyle w:val="bullet3"/>
      <w:lvlText w:val=""/>
      <w:lvlJc w:val="left"/>
      <w:pPr>
        <w:ind w:left="720" w:hanging="360"/>
      </w:pPr>
      <w:rPr>
        <w:rFonts w:ascii="Symbol" w:hAnsi="Symbol" w:hint="default"/>
        <w:color w:val="244061" w:themeColor="accent1" w:themeShade="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107F"/>
    <w:multiLevelType w:val="hybridMultilevel"/>
    <w:tmpl w:val="3A2400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AB82AF5"/>
    <w:multiLevelType w:val="hybridMultilevel"/>
    <w:tmpl w:val="12AA638A"/>
    <w:lvl w:ilvl="0" w:tplc="3F749220">
      <w:start w:val="1"/>
      <w:numFmt w:val="bullet"/>
      <w:pStyle w:val="TRGCoverpage2"/>
      <w:lvlText w:val=""/>
      <w:lvlJc w:val="left"/>
      <w:pPr>
        <w:ind w:left="720" w:hanging="360"/>
      </w:pPr>
      <w:rPr>
        <w:rFonts w:ascii="Symbol" w:hAnsi="Symbol" w:hint="default"/>
        <w:b/>
        <w:bCs/>
        <w:i w:val="0"/>
        <w:iCs w:val="0"/>
        <w:color w:val="17365D" w:themeColor="text2" w:themeShade="BF"/>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52142"/>
    <w:multiLevelType w:val="hybridMultilevel"/>
    <w:tmpl w:val="2D08D530"/>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2" w15:restartNumberingAfterBreak="0">
    <w:nsid w:val="4E3A3BEE"/>
    <w:multiLevelType w:val="hybridMultilevel"/>
    <w:tmpl w:val="A3462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92E8C"/>
    <w:multiLevelType w:val="hybridMultilevel"/>
    <w:tmpl w:val="EE84C1EE"/>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4" w15:restartNumberingAfterBreak="0">
    <w:nsid w:val="5C3816A5"/>
    <w:multiLevelType w:val="hybridMultilevel"/>
    <w:tmpl w:val="B674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C16D92"/>
    <w:multiLevelType w:val="hybridMultilevel"/>
    <w:tmpl w:val="955E9FCA"/>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6" w15:restartNumberingAfterBreak="0">
    <w:nsid w:val="63050C2F"/>
    <w:multiLevelType w:val="hybridMultilevel"/>
    <w:tmpl w:val="21947956"/>
    <w:lvl w:ilvl="0" w:tplc="B98E134E">
      <w:start w:val="1"/>
      <w:numFmt w:val="bullet"/>
      <w:lvlText w:val=""/>
      <w:lvlJc w:val="left"/>
      <w:pPr>
        <w:ind w:left="360" w:hanging="360"/>
      </w:pPr>
      <w:rPr>
        <w:rFonts w:ascii="Symbol" w:hAnsi="Symbol" w:hint="default"/>
        <w:b/>
        <w:bCs/>
        <w:i w:val="0"/>
        <w:iCs w:val="0"/>
        <w:color w:val="17365D" w:themeColor="text2" w:themeShade="BF"/>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5B64C48"/>
    <w:multiLevelType w:val="hybridMultilevel"/>
    <w:tmpl w:val="87765ACE"/>
    <w:lvl w:ilvl="0" w:tplc="FA0EB8D8">
      <w:start w:val="1"/>
      <w:numFmt w:val="bullet"/>
      <w:pStyle w:val="bullet"/>
      <w:lvlText w:val=""/>
      <w:lvlJc w:val="left"/>
      <w:pPr>
        <w:ind w:left="720" w:hanging="360"/>
      </w:pPr>
      <w:rPr>
        <w:rFonts w:ascii="Symbol" w:hAnsi="Symbol" w:hint="default"/>
        <w:b/>
        <w:bCs/>
        <w:i w:val="0"/>
        <w:iCs w:val="0"/>
        <w:color w:val="1F497D" w:themeColor="text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D6E29"/>
    <w:multiLevelType w:val="hybridMultilevel"/>
    <w:tmpl w:val="B590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7046F"/>
    <w:multiLevelType w:val="hybridMultilevel"/>
    <w:tmpl w:val="93CA32A8"/>
    <w:lvl w:ilvl="0" w:tplc="04090013">
      <w:start w:val="1"/>
      <w:numFmt w:val="upperRoman"/>
      <w:lvlText w:val="%1."/>
      <w:lvlJc w:val="righ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726856A8"/>
    <w:multiLevelType w:val="hybridMultilevel"/>
    <w:tmpl w:val="52FE68B6"/>
    <w:lvl w:ilvl="0" w:tplc="04090007">
      <w:start w:val="1"/>
      <w:numFmt w:val="bullet"/>
      <w:lvlText w:val=""/>
      <w:lvlPicBulletId w:val="0"/>
      <w:lvlJc w:val="left"/>
      <w:pPr>
        <w:ind w:left="720" w:hanging="360"/>
      </w:pPr>
      <w:rPr>
        <w:rFonts w:ascii="Symbol" w:hAnsi="Symbol" w:hint="default"/>
        <w:b/>
        <w:bCs/>
        <w:i w:val="0"/>
        <w:iCs w:val="0"/>
        <w:color w:val="1F497D" w:themeColor="text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80D16"/>
    <w:multiLevelType w:val="hybridMultilevel"/>
    <w:tmpl w:val="6A941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0"/>
  </w:num>
  <w:num w:numId="4">
    <w:abstractNumId w:val="16"/>
  </w:num>
  <w:num w:numId="5">
    <w:abstractNumId w:val="6"/>
  </w:num>
  <w:num w:numId="6">
    <w:abstractNumId w:val="15"/>
  </w:num>
  <w:num w:numId="7">
    <w:abstractNumId w:val="17"/>
  </w:num>
  <w:num w:numId="8">
    <w:abstractNumId w:val="0"/>
  </w:num>
  <w:num w:numId="9">
    <w:abstractNumId w:val="2"/>
  </w:num>
  <w:num w:numId="10">
    <w:abstractNumId w:val="8"/>
  </w:num>
  <w:num w:numId="11">
    <w:abstractNumId w:val="11"/>
  </w:num>
  <w:num w:numId="12">
    <w:abstractNumId w:val="5"/>
  </w:num>
  <w:num w:numId="13">
    <w:abstractNumId w:val="18"/>
  </w:num>
  <w:num w:numId="14">
    <w:abstractNumId w:val="20"/>
  </w:num>
  <w:num w:numId="15">
    <w:abstractNumId w:val="21"/>
  </w:num>
  <w:num w:numId="16">
    <w:abstractNumId w:val="19"/>
  </w:num>
  <w:num w:numId="17">
    <w:abstractNumId w:val="4"/>
  </w:num>
  <w:num w:numId="18">
    <w:abstractNumId w:val="3"/>
  </w:num>
  <w:num w:numId="19">
    <w:abstractNumId w:val="13"/>
  </w:num>
  <w:num w:numId="20">
    <w:abstractNumId w:val="1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B"/>
    <w:rsid w:val="00013F87"/>
    <w:rsid w:val="00014BA7"/>
    <w:rsid w:val="00023AAE"/>
    <w:rsid w:val="00043105"/>
    <w:rsid w:val="000537BA"/>
    <w:rsid w:val="00065FA1"/>
    <w:rsid w:val="000815A8"/>
    <w:rsid w:val="00091BFD"/>
    <w:rsid w:val="000A29E8"/>
    <w:rsid w:val="000A7C4D"/>
    <w:rsid w:val="000B1631"/>
    <w:rsid w:val="000C44AE"/>
    <w:rsid w:val="000D7C88"/>
    <w:rsid w:val="000E3B4B"/>
    <w:rsid w:val="000F103F"/>
    <w:rsid w:val="000F37D4"/>
    <w:rsid w:val="0011231E"/>
    <w:rsid w:val="00112F6C"/>
    <w:rsid w:val="0012223B"/>
    <w:rsid w:val="00123DFB"/>
    <w:rsid w:val="00130F7E"/>
    <w:rsid w:val="00134C2D"/>
    <w:rsid w:val="001358C1"/>
    <w:rsid w:val="001422A0"/>
    <w:rsid w:val="00143473"/>
    <w:rsid w:val="001459DC"/>
    <w:rsid w:val="00150A08"/>
    <w:rsid w:val="00151E88"/>
    <w:rsid w:val="001637FB"/>
    <w:rsid w:val="00167ECD"/>
    <w:rsid w:val="00181E3A"/>
    <w:rsid w:val="001828F2"/>
    <w:rsid w:val="001B2DD6"/>
    <w:rsid w:val="001B42A7"/>
    <w:rsid w:val="001B565D"/>
    <w:rsid w:val="001C150A"/>
    <w:rsid w:val="001C5B92"/>
    <w:rsid w:val="001D1BF9"/>
    <w:rsid w:val="001D6064"/>
    <w:rsid w:val="001F0CCC"/>
    <w:rsid w:val="0020055D"/>
    <w:rsid w:val="00201C8B"/>
    <w:rsid w:val="00213525"/>
    <w:rsid w:val="00215B0A"/>
    <w:rsid w:val="00235720"/>
    <w:rsid w:val="00236A91"/>
    <w:rsid w:val="0024653F"/>
    <w:rsid w:val="002507F2"/>
    <w:rsid w:val="00251101"/>
    <w:rsid w:val="00272329"/>
    <w:rsid w:val="00285108"/>
    <w:rsid w:val="00285786"/>
    <w:rsid w:val="00292648"/>
    <w:rsid w:val="002930DD"/>
    <w:rsid w:val="00293C18"/>
    <w:rsid w:val="00293F53"/>
    <w:rsid w:val="0029595C"/>
    <w:rsid w:val="002968D2"/>
    <w:rsid w:val="0029722E"/>
    <w:rsid w:val="002A3738"/>
    <w:rsid w:val="002B5C8E"/>
    <w:rsid w:val="002C4491"/>
    <w:rsid w:val="002F1B32"/>
    <w:rsid w:val="003041B3"/>
    <w:rsid w:val="00310F7D"/>
    <w:rsid w:val="00316C6A"/>
    <w:rsid w:val="003171B4"/>
    <w:rsid w:val="003311E2"/>
    <w:rsid w:val="0033729F"/>
    <w:rsid w:val="00343D47"/>
    <w:rsid w:val="00346A6C"/>
    <w:rsid w:val="00347037"/>
    <w:rsid w:val="00357D22"/>
    <w:rsid w:val="003620F1"/>
    <w:rsid w:val="0036619F"/>
    <w:rsid w:val="00387CE2"/>
    <w:rsid w:val="0039559D"/>
    <w:rsid w:val="003A1297"/>
    <w:rsid w:val="003A2783"/>
    <w:rsid w:val="003A2843"/>
    <w:rsid w:val="003A3C0B"/>
    <w:rsid w:val="003E6AAA"/>
    <w:rsid w:val="003F7C8A"/>
    <w:rsid w:val="0040022F"/>
    <w:rsid w:val="004002F8"/>
    <w:rsid w:val="004048CC"/>
    <w:rsid w:val="0042449B"/>
    <w:rsid w:val="004318CB"/>
    <w:rsid w:val="00432502"/>
    <w:rsid w:val="00447F03"/>
    <w:rsid w:val="00450B4B"/>
    <w:rsid w:val="00474D1C"/>
    <w:rsid w:val="004A7E9C"/>
    <w:rsid w:val="004B4D99"/>
    <w:rsid w:val="004D0250"/>
    <w:rsid w:val="004D6872"/>
    <w:rsid w:val="004D7583"/>
    <w:rsid w:val="004E4A92"/>
    <w:rsid w:val="004F0CE4"/>
    <w:rsid w:val="00503978"/>
    <w:rsid w:val="005165B3"/>
    <w:rsid w:val="00523C11"/>
    <w:rsid w:val="0054361E"/>
    <w:rsid w:val="00550A97"/>
    <w:rsid w:val="00551587"/>
    <w:rsid w:val="005517CE"/>
    <w:rsid w:val="00574311"/>
    <w:rsid w:val="00581F94"/>
    <w:rsid w:val="0058420D"/>
    <w:rsid w:val="005B3347"/>
    <w:rsid w:val="005C3A9B"/>
    <w:rsid w:val="005C4BED"/>
    <w:rsid w:val="005D0A0F"/>
    <w:rsid w:val="005E221B"/>
    <w:rsid w:val="005F7BB8"/>
    <w:rsid w:val="0060133D"/>
    <w:rsid w:val="00604DBD"/>
    <w:rsid w:val="00613FDC"/>
    <w:rsid w:val="006332B6"/>
    <w:rsid w:val="006333B9"/>
    <w:rsid w:val="0063592A"/>
    <w:rsid w:val="0063768D"/>
    <w:rsid w:val="0065256B"/>
    <w:rsid w:val="00675A25"/>
    <w:rsid w:val="00676310"/>
    <w:rsid w:val="006875B4"/>
    <w:rsid w:val="00687C8E"/>
    <w:rsid w:val="00695803"/>
    <w:rsid w:val="006C0490"/>
    <w:rsid w:val="006C05FD"/>
    <w:rsid w:val="006C7B8A"/>
    <w:rsid w:val="00704102"/>
    <w:rsid w:val="00704BC6"/>
    <w:rsid w:val="00711899"/>
    <w:rsid w:val="0073368C"/>
    <w:rsid w:val="007369AE"/>
    <w:rsid w:val="00744570"/>
    <w:rsid w:val="007465B7"/>
    <w:rsid w:val="00777298"/>
    <w:rsid w:val="00787FC2"/>
    <w:rsid w:val="00793975"/>
    <w:rsid w:val="00795990"/>
    <w:rsid w:val="007B144B"/>
    <w:rsid w:val="007D2702"/>
    <w:rsid w:val="007F40F4"/>
    <w:rsid w:val="007F7B0C"/>
    <w:rsid w:val="00802E94"/>
    <w:rsid w:val="00806328"/>
    <w:rsid w:val="00807258"/>
    <w:rsid w:val="0081381E"/>
    <w:rsid w:val="008340C3"/>
    <w:rsid w:val="008445B6"/>
    <w:rsid w:val="00852CFE"/>
    <w:rsid w:val="0085460A"/>
    <w:rsid w:val="0086146B"/>
    <w:rsid w:val="008759B6"/>
    <w:rsid w:val="00880C7B"/>
    <w:rsid w:val="00883551"/>
    <w:rsid w:val="008B76A5"/>
    <w:rsid w:val="008F5C34"/>
    <w:rsid w:val="008F667F"/>
    <w:rsid w:val="00904F32"/>
    <w:rsid w:val="00907161"/>
    <w:rsid w:val="00917EBD"/>
    <w:rsid w:val="00922FAC"/>
    <w:rsid w:val="00923014"/>
    <w:rsid w:val="0092476A"/>
    <w:rsid w:val="0092517D"/>
    <w:rsid w:val="009429A5"/>
    <w:rsid w:val="009473FA"/>
    <w:rsid w:val="009514CD"/>
    <w:rsid w:val="00954FAD"/>
    <w:rsid w:val="00963EC2"/>
    <w:rsid w:val="00970047"/>
    <w:rsid w:val="00971D04"/>
    <w:rsid w:val="00985256"/>
    <w:rsid w:val="009A5DCC"/>
    <w:rsid w:val="009B023B"/>
    <w:rsid w:val="009D2C39"/>
    <w:rsid w:val="009D645C"/>
    <w:rsid w:val="009F08B1"/>
    <w:rsid w:val="00A23E6E"/>
    <w:rsid w:val="00A40D3E"/>
    <w:rsid w:val="00A42763"/>
    <w:rsid w:val="00A45537"/>
    <w:rsid w:val="00A51523"/>
    <w:rsid w:val="00A56CE8"/>
    <w:rsid w:val="00A94FA6"/>
    <w:rsid w:val="00AA3E60"/>
    <w:rsid w:val="00AA468E"/>
    <w:rsid w:val="00AA58E0"/>
    <w:rsid w:val="00AB18B3"/>
    <w:rsid w:val="00AC47E3"/>
    <w:rsid w:val="00AE2BCA"/>
    <w:rsid w:val="00AE4BBC"/>
    <w:rsid w:val="00B10E69"/>
    <w:rsid w:val="00B22925"/>
    <w:rsid w:val="00B22C32"/>
    <w:rsid w:val="00B26A6D"/>
    <w:rsid w:val="00B275DC"/>
    <w:rsid w:val="00B37605"/>
    <w:rsid w:val="00B401C5"/>
    <w:rsid w:val="00B64CA3"/>
    <w:rsid w:val="00B7319A"/>
    <w:rsid w:val="00B753B1"/>
    <w:rsid w:val="00B911AF"/>
    <w:rsid w:val="00BB433C"/>
    <w:rsid w:val="00BF28F6"/>
    <w:rsid w:val="00BF4583"/>
    <w:rsid w:val="00C128D8"/>
    <w:rsid w:val="00C33BBF"/>
    <w:rsid w:val="00C3416D"/>
    <w:rsid w:val="00C41256"/>
    <w:rsid w:val="00C53053"/>
    <w:rsid w:val="00C7017B"/>
    <w:rsid w:val="00C852F7"/>
    <w:rsid w:val="00C854C6"/>
    <w:rsid w:val="00C92602"/>
    <w:rsid w:val="00CB14D0"/>
    <w:rsid w:val="00CB3109"/>
    <w:rsid w:val="00CD11A4"/>
    <w:rsid w:val="00CD1574"/>
    <w:rsid w:val="00CD2AF0"/>
    <w:rsid w:val="00CD74C9"/>
    <w:rsid w:val="00CE75FA"/>
    <w:rsid w:val="00CF54B7"/>
    <w:rsid w:val="00D21FAC"/>
    <w:rsid w:val="00D24E25"/>
    <w:rsid w:val="00D27A41"/>
    <w:rsid w:val="00D30A75"/>
    <w:rsid w:val="00D63226"/>
    <w:rsid w:val="00D80B68"/>
    <w:rsid w:val="00D84F65"/>
    <w:rsid w:val="00D92A5A"/>
    <w:rsid w:val="00D95889"/>
    <w:rsid w:val="00DA5E81"/>
    <w:rsid w:val="00DA734B"/>
    <w:rsid w:val="00DC52CF"/>
    <w:rsid w:val="00DC7649"/>
    <w:rsid w:val="00DD38DF"/>
    <w:rsid w:val="00DE3531"/>
    <w:rsid w:val="00DE59F7"/>
    <w:rsid w:val="00E04770"/>
    <w:rsid w:val="00E121AB"/>
    <w:rsid w:val="00E12D7F"/>
    <w:rsid w:val="00E277A1"/>
    <w:rsid w:val="00E37E38"/>
    <w:rsid w:val="00E5223F"/>
    <w:rsid w:val="00E62563"/>
    <w:rsid w:val="00E71E89"/>
    <w:rsid w:val="00E750DB"/>
    <w:rsid w:val="00EA1F33"/>
    <w:rsid w:val="00EB54FE"/>
    <w:rsid w:val="00EE22C4"/>
    <w:rsid w:val="00EE3E92"/>
    <w:rsid w:val="00EE490F"/>
    <w:rsid w:val="00EE7226"/>
    <w:rsid w:val="00F138C9"/>
    <w:rsid w:val="00F164B1"/>
    <w:rsid w:val="00F22D7C"/>
    <w:rsid w:val="00F267D0"/>
    <w:rsid w:val="00F27CF1"/>
    <w:rsid w:val="00F359BD"/>
    <w:rsid w:val="00F35F8E"/>
    <w:rsid w:val="00F40F5E"/>
    <w:rsid w:val="00F411A6"/>
    <w:rsid w:val="00F4698C"/>
    <w:rsid w:val="00F517BE"/>
    <w:rsid w:val="00F52B66"/>
    <w:rsid w:val="00F61136"/>
    <w:rsid w:val="00F72C15"/>
    <w:rsid w:val="00F83DC6"/>
    <w:rsid w:val="00F84306"/>
    <w:rsid w:val="00F92A6B"/>
    <w:rsid w:val="00FC0CBC"/>
    <w:rsid w:val="00FF28B7"/>
    <w:rsid w:val="00FF3D09"/>
    <w:rsid w:val="00FF626C"/>
    <w:rsid w:val="00FF6FA0"/>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67704"/>
  <w15:docId w15:val="{9CA88718-095E-463A-B470-885862B7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3A"/>
    <w:pPr>
      <w:spacing w:line="36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A42763"/>
    <w:pPr>
      <w:jc w:val="center"/>
      <w:outlineLvl w:val="0"/>
    </w:pPr>
    <w:rPr>
      <w:rFonts w:ascii="Lucida Grande" w:hAnsi="Lucida Grande" w:cs="Lucida Grande"/>
      <w:b/>
      <w:color w:val="0F243E" w:themeColor="tex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763"/>
    <w:rPr>
      <w:rFonts w:ascii="Lucida Grande" w:hAnsi="Lucida Grande" w:cs="Lucida Grande"/>
      <w:b/>
      <w:color w:val="0F243E" w:themeColor="text2" w:themeShade="80"/>
      <w:sz w:val="32"/>
      <w:szCs w:val="32"/>
    </w:rPr>
  </w:style>
  <w:style w:type="paragraph" w:customStyle="1" w:styleId="StrChangeDev">
    <w:name w:val="Str*Change*Dev"/>
    <w:basedOn w:val="Heading1"/>
    <w:rsid w:val="00014BA7"/>
    <w:pPr>
      <w:spacing w:after="120"/>
    </w:pPr>
    <w:rPr>
      <w:rFonts w:ascii="Century Gothic" w:eastAsia="Times New Roman" w:hAnsi="Century Gothic" w:cs="Times New Roman"/>
      <w:b w:val="0"/>
      <w:bCs/>
      <w:smallCaps/>
      <w:sz w:val="18"/>
      <w:szCs w:val="18"/>
      <w:lang w:bidi="en-US"/>
    </w:rPr>
  </w:style>
  <w:style w:type="paragraph" w:styleId="ListParagraph">
    <w:name w:val="List Paragraph"/>
    <w:basedOn w:val="Normal"/>
    <w:link w:val="ListParagraphChar"/>
    <w:uiPriority w:val="34"/>
    <w:qFormat/>
    <w:rsid w:val="0065256B"/>
    <w:pPr>
      <w:ind w:left="720"/>
      <w:contextualSpacing/>
    </w:pPr>
  </w:style>
  <w:style w:type="character" w:customStyle="1" w:styleId="ListParagraphChar">
    <w:name w:val="List Paragraph Char"/>
    <w:link w:val="ListParagraph"/>
    <w:uiPriority w:val="34"/>
    <w:rsid w:val="0065256B"/>
    <w:rPr>
      <w:rFonts w:ascii="Calibri" w:eastAsia="Calibri" w:hAnsi="Calibri" w:cs="Times New Roman"/>
      <w:sz w:val="22"/>
      <w:szCs w:val="22"/>
    </w:rPr>
  </w:style>
  <w:style w:type="table" w:styleId="TableGrid">
    <w:name w:val="Table Grid"/>
    <w:basedOn w:val="TableNormal"/>
    <w:uiPriority w:val="59"/>
    <w:rsid w:val="0063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GCoverpage2">
    <w:name w:val="TRG Coverpage 2"/>
    <w:basedOn w:val="Normal"/>
    <w:rsid w:val="00B26A6D"/>
    <w:pPr>
      <w:numPr>
        <w:numId w:val="3"/>
      </w:numPr>
    </w:pPr>
  </w:style>
  <w:style w:type="paragraph" w:customStyle="1" w:styleId="bullet">
    <w:name w:val="bullet"/>
    <w:basedOn w:val="TRGCoverpage2"/>
    <w:qFormat/>
    <w:rsid w:val="005517CE"/>
    <w:pPr>
      <w:numPr>
        <w:numId w:val="7"/>
      </w:numPr>
      <w:spacing w:before="140" w:line="240" w:lineRule="auto"/>
    </w:pPr>
    <w:rPr>
      <w:sz w:val="22"/>
      <w:szCs w:val="22"/>
    </w:rPr>
  </w:style>
  <w:style w:type="paragraph" w:customStyle="1" w:styleId="indented">
    <w:name w:val="indented"/>
    <w:basedOn w:val="Normal"/>
    <w:qFormat/>
    <w:rsid w:val="006C05FD"/>
    <w:pPr>
      <w:ind w:left="1080" w:right="1800"/>
    </w:pPr>
    <w:rPr>
      <w:color w:val="365F91" w:themeColor="accent1" w:themeShade="BF"/>
    </w:rPr>
  </w:style>
  <w:style w:type="paragraph" w:customStyle="1" w:styleId="Agendaitem">
    <w:name w:val="Agenda item"/>
    <w:basedOn w:val="Normal"/>
    <w:qFormat/>
    <w:rsid w:val="001C150A"/>
    <w:pPr>
      <w:tabs>
        <w:tab w:val="right" w:pos="9900"/>
      </w:tabs>
      <w:spacing w:line="240" w:lineRule="auto"/>
      <w:ind w:left="191"/>
    </w:pPr>
    <w:rPr>
      <w:b/>
      <w:color w:val="1F497D" w:themeColor="text2"/>
      <w:sz w:val="22"/>
      <w:szCs w:val="22"/>
    </w:rPr>
  </w:style>
  <w:style w:type="paragraph" w:styleId="Header">
    <w:name w:val="header"/>
    <w:basedOn w:val="Normal"/>
    <w:link w:val="HeaderChar"/>
    <w:uiPriority w:val="99"/>
    <w:unhideWhenUsed/>
    <w:rsid w:val="00F138C9"/>
    <w:pPr>
      <w:tabs>
        <w:tab w:val="center" w:pos="4320"/>
        <w:tab w:val="right" w:pos="8640"/>
      </w:tabs>
      <w:spacing w:line="240" w:lineRule="auto"/>
    </w:pPr>
  </w:style>
  <w:style w:type="character" w:customStyle="1" w:styleId="HeaderChar">
    <w:name w:val="Header Char"/>
    <w:basedOn w:val="DefaultParagraphFont"/>
    <w:link w:val="Header"/>
    <w:uiPriority w:val="99"/>
    <w:rsid w:val="00F138C9"/>
    <w:rPr>
      <w:rFonts w:ascii="Calibri" w:eastAsia="Calibri" w:hAnsi="Calibri" w:cs="Times New Roman"/>
      <w:sz w:val="20"/>
      <w:szCs w:val="20"/>
    </w:rPr>
  </w:style>
  <w:style w:type="paragraph" w:styleId="Footer">
    <w:name w:val="footer"/>
    <w:basedOn w:val="Normal"/>
    <w:link w:val="FooterChar"/>
    <w:uiPriority w:val="99"/>
    <w:unhideWhenUsed/>
    <w:rsid w:val="00F138C9"/>
    <w:pPr>
      <w:tabs>
        <w:tab w:val="center" w:pos="4320"/>
        <w:tab w:val="right" w:pos="8640"/>
      </w:tabs>
      <w:spacing w:line="240" w:lineRule="auto"/>
    </w:pPr>
  </w:style>
  <w:style w:type="character" w:customStyle="1" w:styleId="FooterChar">
    <w:name w:val="Footer Char"/>
    <w:basedOn w:val="DefaultParagraphFont"/>
    <w:link w:val="Footer"/>
    <w:uiPriority w:val="99"/>
    <w:rsid w:val="00F138C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851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108"/>
    <w:rPr>
      <w:rFonts w:ascii="Lucida Grande" w:eastAsia="Calibri" w:hAnsi="Lucida Grande" w:cs="Lucida Grande"/>
      <w:sz w:val="18"/>
      <w:szCs w:val="18"/>
    </w:rPr>
  </w:style>
  <w:style w:type="paragraph" w:customStyle="1" w:styleId="Bullet2">
    <w:name w:val="Bullet 2"/>
    <w:basedOn w:val="bullet"/>
    <w:qFormat/>
    <w:rsid w:val="00922FAC"/>
    <w:pPr>
      <w:ind w:left="1260" w:hanging="270"/>
    </w:pPr>
  </w:style>
  <w:style w:type="paragraph" w:customStyle="1" w:styleId="Bullet1">
    <w:name w:val="Bullet 1"/>
    <w:basedOn w:val="Normal"/>
    <w:rsid w:val="00922FAC"/>
    <w:pPr>
      <w:numPr>
        <w:numId w:val="8"/>
      </w:numPr>
      <w:spacing w:before="120" w:line="240" w:lineRule="auto"/>
      <w:ind w:hanging="180"/>
    </w:pPr>
    <w:rPr>
      <w:sz w:val="22"/>
      <w:szCs w:val="22"/>
    </w:rPr>
  </w:style>
  <w:style w:type="paragraph" w:customStyle="1" w:styleId="bullet3">
    <w:name w:val="bullet 3"/>
    <w:basedOn w:val="bullet"/>
    <w:qFormat/>
    <w:rsid w:val="001B565D"/>
    <w:pPr>
      <w:numPr>
        <w:numId w:val="10"/>
      </w:numPr>
      <w:ind w:left="2160"/>
    </w:pPr>
  </w:style>
  <w:style w:type="table" w:customStyle="1" w:styleId="MediumShading1-Accent11">
    <w:name w:val="Medium Shading 1 - Accent 11"/>
    <w:basedOn w:val="TableNormal"/>
    <w:uiPriority w:val="63"/>
    <w:rsid w:val="009D2C39"/>
    <w:rPr>
      <w:rFonts w:eastAsiaTheme="minorHAns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E62563"/>
    <w:rPr>
      <w:sz w:val="16"/>
      <w:szCs w:val="16"/>
    </w:rPr>
  </w:style>
  <w:style w:type="paragraph" w:styleId="CommentText">
    <w:name w:val="annotation text"/>
    <w:basedOn w:val="Normal"/>
    <w:link w:val="CommentTextChar"/>
    <w:uiPriority w:val="99"/>
    <w:semiHidden/>
    <w:unhideWhenUsed/>
    <w:rsid w:val="00E62563"/>
    <w:pPr>
      <w:spacing w:line="240" w:lineRule="auto"/>
    </w:pPr>
  </w:style>
  <w:style w:type="character" w:customStyle="1" w:styleId="CommentTextChar">
    <w:name w:val="Comment Text Char"/>
    <w:basedOn w:val="DefaultParagraphFont"/>
    <w:link w:val="CommentText"/>
    <w:uiPriority w:val="99"/>
    <w:semiHidden/>
    <w:rsid w:val="00E6256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2563"/>
    <w:rPr>
      <w:b/>
      <w:bCs/>
    </w:rPr>
  </w:style>
  <w:style w:type="character" w:customStyle="1" w:styleId="CommentSubjectChar">
    <w:name w:val="Comment Subject Char"/>
    <w:basedOn w:val="CommentTextChar"/>
    <w:link w:val="CommentSubject"/>
    <w:uiPriority w:val="99"/>
    <w:semiHidden/>
    <w:rsid w:val="00E62563"/>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6146B"/>
    <w:pPr>
      <w:spacing w:line="240"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6146B"/>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8609">
      <w:bodyDiv w:val="1"/>
      <w:marLeft w:val="0"/>
      <w:marRight w:val="0"/>
      <w:marTop w:val="0"/>
      <w:marBottom w:val="0"/>
      <w:divBdr>
        <w:top w:val="none" w:sz="0" w:space="0" w:color="auto"/>
        <w:left w:val="none" w:sz="0" w:space="0" w:color="auto"/>
        <w:bottom w:val="none" w:sz="0" w:space="0" w:color="auto"/>
        <w:right w:val="none" w:sz="0" w:space="0" w:color="auto"/>
      </w:divBdr>
      <w:divsChild>
        <w:div w:id="1322847948">
          <w:marLeft w:val="0"/>
          <w:marRight w:val="0"/>
          <w:marTop w:val="0"/>
          <w:marBottom w:val="0"/>
          <w:divBdr>
            <w:top w:val="none" w:sz="0" w:space="0" w:color="auto"/>
            <w:left w:val="none" w:sz="0" w:space="0" w:color="auto"/>
            <w:bottom w:val="none" w:sz="0" w:space="0" w:color="auto"/>
            <w:right w:val="none" w:sz="0" w:space="0" w:color="auto"/>
          </w:divBdr>
        </w:div>
        <w:div w:id="1174877607">
          <w:marLeft w:val="0"/>
          <w:marRight w:val="0"/>
          <w:marTop w:val="0"/>
          <w:marBottom w:val="0"/>
          <w:divBdr>
            <w:top w:val="none" w:sz="0" w:space="0" w:color="auto"/>
            <w:left w:val="none" w:sz="0" w:space="0" w:color="auto"/>
            <w:bottom w:val="none" w:sz="0" w:space="0" w:color="auto"/>
            <w:right w:val="none" w:sz="0" w:space="0" w:color="auto"/>
          </w:divBdr>
        </w:div>
        <w:div w:id="1440567773">
          <w:marLeft w:val="0"/>
          <w:marRight w:val="0"/>
          <w:marTop w:val="0"/>
          <w:marBottom w:val="0"/>
          <w:divBdr>
            <w:top w:val="none" w:sz="0" w:space="0" w:color="auto"/>
            <w:left w:val="none" w:sz="0" w:space="0" w:color="auto"/>
            <w:bottom w:val="none" w:sz="0" w:space="0" w:color="auto"/>
            <w:right w:val="none" w:sz="0" w:space="0" w:color="auto"/>
          </w:divBdr>
        </w:div>
      </w:divsChild>
    </w:div>
    <w:div w:id="1874880202">
      <w:bodyDiv w:val="1"/>
      <w:marLeft w:val="0"/>
      <w:marRight w:val="0"/>
      <w:marTop w:val="0"/>
      <w:marBottom w:val="0"/>
      <w:divBdr>
        <w:top w:val="none" w:sz="0" w:space="0" w:color="auto"/>
        <w:left w:val="none" w:sz="0" w:space="0" w:color="auto"/>
        <w:bottom w:val="none" w:sz="0" w:space="0" w:color="auto"/>
        <w:right w:val="none" w:sz="0" w:space="0" w:color="auto"/>
      </w:divBdr>
    </w:div>
    <w:div w:id="1910967739">
      <w:bodyDiv w:val="1"/>
      <w:marLeft w:val="0"/>
      <w:marRight w:val="0"/>
      <w:marTop w:val="0"/>
      <w:marBottom w:val="0"/>
      <w:divBdr>
        <w:top w:val="none" w:sz="0" w:space="0" w:color="auto"/>
        <w:left w:val="none" w:sz="0" w:space="0" w:color="auto"/>
        <w:bottom w:val="none" w:sz="0" w:space="0" w:color="auto"/>
        <w:right w:val="none" w:sz="0" w:space="0" w:color="auto"/>
      </w:divBdr>
    </w:div>
    <w:div w:id="1963070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8D1FA-3B7A-48C7-8C07-967FEC0B2D73}">
  <ds:schemaRefs>
    <ds:schemaRef ds:uri="http://schemas.openxmlformats.org/officeDocument/2006/bibliography"/>
  </ds:schemaRefs>
</ds:datastoreItem>
</file>

<file path=customXml/itemProps2.xml><?xml version="1.0" encoding="utf-8"?>
<ds:datastoreItem xmlns:ds="http://schemas.openxmlformats.org/officeDocument/2006/customXml" ds:itemID="{242538DB-DD95-424F-9A36-A6C0D706D98D}"/>
</file>

<file path=customXml/itemProps3.xml><?xml version="1.0" encoding="utf-8"?>
<ds:datastoreItem xmlns:ds="http://schemas.openxmlformats.org/officeDocument/2006/customXml" ds:itemID="{154437F0-B0A5-43DB-8DD2-4BB3D264CB86}"/>
</file>

<file path=customXml/itemProps4.xml><?xml version="1.0" encoding="utf-8"?>
<ds:datastoreItem xmlns:ds="http://schemas.openxmlformats.org/officeDocument/2006/customXml" ds:itemID="{A297F9F5-74BB-4616-94B5-E609CF5E0742}"/>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Wright</dc:creator>
  <cp:lastModifiedBy>Lori Clarke</cp:lastModifiedBy>
  <cp:revision>2</cp:revision>
  <cp:lastPrinted>2016-11-08T19:18:00Z</cp:lastPrinted>
  <dcterms:created xsi:type="dcterms:W3CDTF">2016-12-01T22:00:00Z</dcterms:created>
  <dcterms:modified xsi:type="dcterms:W3CDTF">2016-12-01T22:00:00Z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Order">
    <vt:r8>61300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