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278"/>
        <w:gridCol w:w="4345"/>
        <w:gridCol w:w="4808"/>
        <w:gridCol w:w="3987"/>
      </w:tblGrid>
      <w:tr w:rsidR="00CD5902" w14:paraId="512D1C5D" w14:textId="77777777" w:rsidTr="009050A8">
        <w:tc>
          <w:tcPr>
            <w:tcW w:w="1278" w:type="dxa"/>
            <w:shd w:val="clear" w:color="auto" w:fill="DAEEF3" w:themeFill="accent5" w:themeFillTint="33"/>
          </w:tcPr>
          <w:p w14:paraId="0C895790" w14:textId="2023643E" w:rsidR="00CD5902" w:rsidRDefault="00CD5902" w:rsidP="00A9313C">
            <w:pPr>
              <w:ind w:right="926"/>
            </w:pPr>
          </w:p>
        </w:tc>
        <w:tc>
          <w:tcPr>
            <w:tcW w:w="4345" w:type="dxa"/>
            <w:shd w:val="clear" w:color="auto" w:fill="DAEEF3" w:themeFill="accent5" w:themeFillTint="33"/>
          </w:tcPr>
          <w:p w14:paraId="0BF0DDEC" w14:textId="77777777" w:rsidR="00CD5902" w:rsidRDefault="00C83812" w:rsidP="00CD5902">
            <w:pPr>
              <w:jc w:val="center"/>
            </w:pPr>
            <w:r>
              <w:t xml:space="preserve">Partial Credit/ </w:t>
            </w:r>
            <w:r w:rsidR="00CD5902">
              <w:t>LCFF</w:t>
            </w:r>
            <w:r>
              <w:t xml:space="preserve"> /School based service provision </w:t>
            </w:r>
          </w:p>
        </w:tc>
        <w:tc>
          <w:tcPr>
            <w:tcW w:w="4808" w:type="dxa"/>
            <w:shd w:val="clear" w:color="auto" w:fill="DAEEF3" w:themeFill="accent5" w:themeFillTint="33"/>
          </w:tcPr>
          <w:p w14:paraId="327E5976" w14:textId="77777777" w:rsidR="00CD5902" w:rsidRDefault="00CD5902" w:rsidP="00CD5902">
            <w:pPr>
              <w:jc w:val="center"/>
            </w:pPr>
            <w:r>
              <w:t>Katie A</w:t>
            </w:r>
          </w:p>
        </w:tc>
        <w:tc>
          <w:tcPr>
            <w:tcW w:w="3987" w:type="dxa"/>
            <w:shd w:val="clear" w:color="auto" w:fill="DAEEF3" w:themeFill="accent5" w:themeFillTint="33"/>
          </w:tcPr>
          <w:p w14:paraId="343ADC95" w14:textId="77777777" w:rsidR="00CD5902" w:rsidRDefault="00CD5902" w:rsidP="00CD5902">
            <w:pPr>
              <w:jc w:val="center"/>
            </w:pPr>
            <w:r>
              <w:t>QIP</w:t>
            </w:r>
          </w:p>
        </w:tc>
      </w:tr>
      <w:tr w:rsidR="00CD5902" w14:paraId="7E769A5D" w14:textId="77777777" w:rsidTr="009050A8">
        <w:tc>
          <w:tcPr>
            <w:tcW w:w="1278" w:type="dxa"/>
          </w:tcPr>
          <w:p w14:paraId="4AA60CA0" w14:textId="77777777" w:rsidR="00CD5902" w:rsidRDefault="00CD5902">
            <w:r>
              <w:t>Goals</w:t>
            </w:r>
          </w:p>
        </w:tc>
        <w:tc>
          <w:tcPr>
            <w:tcW w:w="4345" w:type="dxa"/>
          </w:tcPr>
          <w:p w14:paraId="6496566D" w14:textId="77777777" w:rsidR="00CD5902" w:rsidRDefault="001A21E1">
            <w:r>
              <w:t xml:space="preserve">Improved educational outcomes for foster youth </w:t>
            </w:r>
          </w:p>
          <w:p w14:paraId="1223D150" w14:textId="77777777" w:rsidR="001A21E1" w:rsidRDefault="001A21E1"/>
          <w:p w14:paraId="03219F44" w14:textId="15EA9DA1" w:rsidR="001A21E1" w:rsidRDefault="001A21E1">
            <w:r>
              <w:t>Timely enrollment</w:t>
            </w:r>
            <w:r w:rsidR="000359D0">
              <w:t xml:space="preserve"> and disenrollment</w:t>
            </w:r>
            <w:r>
              <w:t xml:space="preserve">, transfer of </w:t>
            </w:r>
            <w:r w:rsidR="000359D0">
              <w:t>records</w:t>
            </w:r>
            <w:r>
              <w:t>, and school stability</w:t>
            </w:r>
          </w:p>
          <w:p w14:paraId="1FFC4083" w14:textId="77777777" w:rsidR="001A21E1" w:rsidRDefault="001A21E1"/>
          <w:p w14:paraId="2B43A4A7" w14:textId="77777777" w:rsidR="001A21E1" w:rsidRDefault="001A21E1">
            <w:r>
              <w:t>Increase rate of graduation</w:t>
            </w:r>
          </w:p>
          <w:p w14:paraId="64ADE02F" w14:textId="77777777" w:rsidR="000359D0" w:rsidRDefault="000359D0"/>
          <w:p w14:paraId="7D7E5BD6" w14:textId="7F6BFCE5" w:rsidR="000359D0" w:rsidRDefault="000359D0">
            <w:r>
              <w:t>Reduce</w:t>
            </w:r>
            <w:r w:rsidR="009050A8">
              <w:t xml:space="preserve"> rate of foster youth who drop out </w:t>
            </w:r>
          </w:p>
          <w:p w14:paraId="40D1A3B7" w14:textId="77777777" w:rsidR="001A21E1" w:rsidRDefault="001A21E1"/>
          <w:p w14:paraId="5D1063F2" w14:textId="1E2EFC87" w:rsidR="001A21E1" w:rsidRDefault="001A21E1">
            <w:r>
              <w:t xml:space="preserve">Shortened time it takes a student to graduate </w:t>
            </w:r>
          </w:p>
          <w:p w14:paraId="6C52E6AF" w14:textId="77777777" w:rsidR="001A21E1" w:rsidRDefault="001A21E1"/>
          <w:p w14:paraId="60518C6A" w14:textId="56B5A911" w:rsidR="001A21E1" w:rsidRDefault="001A21E1">
            <w:r>
              <w:t xml:space="preserve">Increase in state school spending for foster youth </w:t>
            </w:r>
          </w:p>
          <w:p w14:paraId="33849786" w14:textId="77777777" w:rsidR="001A21E1" w:rsidRDefault="001A21E1"/>
          <w:p w14:paraId="00B5C16E" w14:textId="77777777" w:rsidR="001A21E1" w:rsidRDefault="001A21E1">
            <w:r>
              <w:t>Increase in compliance with IEPs</w:t>
            </w:r>
          </w:p>
          <w:p w14:paraId="07DD4B1D" w14:textId="77777777" w:rsidR="001A21E1" w:rsidRDefault="001A21E1"/>
          <w:p w14:paraId="6CD1E290" w14:textId="77777777" w:rsidR="009050A8" w:rsidRDefault="009050A8">
            <w:r>
              <w:t xml:space="preserve">Increase to early intervention for foster youth age 0-5 </w:t>
            </w:r>
          </w:p>
          <w:p w14:paraId="4AED9470" w14:textId="77777777" w:rsidR="009050A8" w:rsidRDefault="009050A8"/>
          <w:p w14:paraId="4F9748C3" w14:textId="77777777" w:rsidR="001A21E1" w:rsidRDefault="001A21E1">
            <w:r>
              <w:t>Increase access to school based health and mental health care</w:t>
            </w:r>
          </w:p>
          <w:p w14:paraId="5F3F4518" w14:textId="2B29092B" w:rsidR="001A21E1" w:rsidRDefault="001A21E1"/>
        </w:tc>
        <w:tc>
          <w:tcPr>
            <w:tcW w:w="4808" w:type="dxa"/>
          </w:tcPr>
          <w:p w14:paraId="194A83EF" w14:textId="77777777" w:rsidR="00B959A1" w:rsidRPr="00A41CBA" w:rsidRDefault="00B959A1" w:rsidP="00B959A1">
            <w:pPr>
              <w:rPr>
                <w:rFonts w:ascii="Times" w:eastAsia="Times New Roman" w:hAnsi="Times" w:cs="Times New Roman"/>
                <w:szCs w:val="20"/>
              </w:rPr>
            </w:pPr>
            <w:r w:rsidRPr="00A41CBA">
              <w:rPr>
                <w:rFonts w:ascii="Times" w:eastAsia="Times New Roman" w:hAnsi="Times" w:cs="Times New Roman"/>
                <w:szCs w:val="20"/>
              </w:rPr>
              <w:t xml:space="preserve">To transform the way children and youth who are in foster care or who are at imminent risk of foster care placement receive access to mental health services consistent with a Core Practice Model (CPM) that creates a coherent and all-inclusive approach to service planning and delivery. </w:t>
            </w:r>
          </w:p>
          <w:p w14:paraId="5AB435F9" w14:textId="77777777" w:rsidR="00B959A1" w:rsidRPr="00A41CBA" w:rsidRDefault="00B959A1" w:rsidP="00B959A1">
            <w:pPr>
              <w:rPr>
                <w:rFonts w:ascii="Times" w:eastAsia="Times New Roman" w:hAnsi="Times" w:cs="Times New Roman"/>
                <w:szCs w:val="20"/>
              </w:rPr>
            </w:pPr>
          </w:p>
          <w:p w14:paraId="4E877C9B" w14:textId="697093B8" w:rsidR="00B959A1" w:rsidRPr="00A41CBA" w:rsidRDefault="00B959A1" w:rsidP="00B959A1">
            <w:pPr>
              <w:rPr>
                <w:rFonts w:ascii="Times" w:eastAsia="Times New Roman" w:hAnsi="Times" w:cs="Times New Roman"/>
                <w:szCs w:val="20"/>
              </w:rPr>
            </w:pPr>
            <w:r w:rsidRPr="00A41CBA">
              <w:rPr>
                <w:rFonts w:ascii="Times" w:eastAsia="Times New Roman" w:hAnsi="Times" w:cs="Times New Roman"/>
                <w:szCs w:val="20"/>
              </w:rPr>
              <w:t>The Settlement Agreement also specifies that children and youth who meet subclass criteria are eligible to receive Intensive Care Coordination (ICC), Intensive Home Based Services (IHBS), an</w:t>
            </w:r>
            <w:r w:rsidR="0030482F">
              <w:rPr>
                <w:rFonts w:ascii="Times" w:eastAsia="Times New Roman" w:hAnsi="Times" w:cs="Times New Roman"/>
                <w:szCs w:val="20"/>
              </w:rPr>
              <w:t>d Therapeutic Foster Care (TFC).</w:t>
            </w:r>
          </w:p>
          <w:p w14:paraId="3EC41668" w14:textId="77777777" w:rsidR="00B959A1" w:rsidRPr="00A41CBA" w:rsidRDefault="00B959A1" w:rsidP="00B959A1">
            <w:pPr>
              <w:rPr>
                <w:rFonts w:ascii="Times" w:eastAsia="Times New Roman" w:hAnsi="Times" w:cs="Times New Roman"/>
                <w:szCs w:val="20"/>
              </w:rPr>
            </w:pPr>
          </w:p>
          <w:p w14:paraId="039C744B" w14:textId="77777777" w:rsidR="00B959A1" w:rsidRPr="00A41CBA" w:rsidRDefault="00B959A1" w:rsidP="00B959A1">
            <w:pPr>
              <w:rPr>
                <w:rFonts w:ascii="Times" w:eastAsia="Times New Roman" w:hAnsi="Times" w:cs="Times New Roman"/>
                <w:szCs w:val="20"/>
              </w:rPr>
            </w:pPr>
            <w:r w:rsidRPr="00A41CBA">
              <w:rPr>
                <w:rFonts w:ascii="Times" w:eastAsia="Times New Roman" w:hAnsi="Times" w:cs="Times New Roman"/>
                <w:szCs w:val="20"/>
              </w:rPr>
              <w:t>County MHPs are required to provide ICC and IHBS services to subclass members. MHPs provide ICC and IHBS and claim federal reimbursement through the Short-Doyle/</w:t>
            </w:r>
            <w:proofErr w:type="spellStart"/>
            <w:r w:rsidRPr="00A41CBA">
              <w:rPr>
                <w:rFonts w:ascii="Times" w:eastAsia="Times New Roman" w:hAnsi="Times" w:cs="Times New Roman"/>
                <w:szCs w:val="20"/>
              </w:rPr>
              <w:t>Medi</w:t>
            </w:r>
            <w:proofErr w:type="spellEnd"/>
            <w:r w:rsidRPr="00A41CBA">
              <w:rPr>
                <w:rFonts w:ascii="Times" w:eastAsia="Times New Roman" w:hAnsi="Times" w:cs="Times New Roman"/>
                <w:szCs w:val="20"/>
              </w:rPr>
              <w:t>-Cal (SDMC) claiming system.</w:t>
            </w:r>
          </w:p>
          <w:p w14:paraId="242612ED" w14:textId="77777777" w:rsidR="00CD5902" w:rsidRDefault="00CD5902"/>
        </w:tc>
        <w:tc>
          <w:tcPr>
            <w:tcW w:w="3987" w:type="dxa"/>
          </w:tcPr>
          <w:p w14:paraId="63B0D1FB" w14:textId="77777777" w:rsidR="00CD5902" w:rsidRDefault="00B959A1">
            <w:r>
              <w:t>Increase in youth and family satisfaction with care plans.</w:t>
            </w:r>
          </w:p>
          <w:p w14:paraId="117479C1" w14:textId="77777777" w:rsidR="00B959A1" w:rsidRDefault="00B959A1"/>
          <w:p w14:paraId="3C6FA659" w14:textId="77777777" w:rsidR="00B959A1" w:rsidRDefault="00B959A1">
            <w:r>
              <w:t>Increase in claims for medically necessary, trauma-informed, specialty mental health services.</w:t>
            </w:r>
          </w:p>
          <w:p w14:paraId="224D77E1" w14:textId="77777777" w:rsidR="00B959A1" w:rsidRDefault="00B959A1"/>
          <w:p w14:paraId="10FCBA86" w14:textId="77777777" w:rsidR="00B959A1" w:rsidRDefault="00B959A1">
            <w:r>
              <w:t>Improved foster care placement stability</w:t>
            </w:r>
          </w:p>
          <w:p w14:paraId="4A8C5A9B" w14:textId="77777777" w:rsidR="00B959A1" w:rsidRDefault="00B959A1"/>
          <w:p w14:paraId="057CC16E" w14:textId="77777777" w:rsidR="00B959A1" w:rsidRDefault="00B959A1">
            <w:r>
              <w:t>Improved permanency</w:t>
            </w:r>
          </w:p>
          <w:p w14:paraId="1E1559A0" w14:textId="77777777" w:rsidR="00B959A1" w:rsidRDefault="00B959A1"/>
          <w:p w14:paraId="341C1F99" w14:textId="77777777" w:rsidR="00B959A1" w:rsidRDefault="00B959A1">
            <w:r>
              <w:t>Decline in the use of psychotropic medications</w:t>
            </w:r>
          </w:p>
          <w:p w14:paraId="35F50D92" w14:textId="77777777" w:rsidR="00B959A1" w:rsidRDefault="00B959A1"/>
          <w:p w14:paraId="15165D7A" w14:textId="77777777" w:rsidR="00B959A1" w:rsidRDefault="00B959A1">
            <w:r>
              <w:t xml:space="preserve">Decline in the use of </w:t>
            </w:r>
            <w:proofErr w:type="spellStart"/>
            <w:r>
              <w:t>polypharmacy</w:t>
            </w:r>
            <w:proofErr w:type="spellEnd"/>
          </w:p>
          <w:p w14:paraId="160CD715" w14:textId="77777777" w:rsidR="00A9313C" w:rsidRDefault="00A9313C"/>
          <w:p w14:paraId="05A3F83B" w14:textId="77777777" w:rsidR="00A9313C" w:rsidRDefault="00A9313C">
            <w:r>
              <w:t xml:space="preserve">Increase in upfront screening and ongoing monitoring for children and youth on </w:t>
            </w:r>
            <w:proofErr w:type="spellStart"/>
            <w:r>
              <w:t>psychotropics</w:t>
            </w:r>
            <w:proofErr w:type="spellEnd"/>
            <w:r>
              <w:t xml:space="preserve"> </w:t>
            </w:r>
          </w:p>
        </w:tc>
      </w:tr>
      <w:tr w:rsidR="00CD5902" w14:paraId="6BE063EE" w14:textId="77777777" w:rsidTr="009050A8">
        <w:tc>
          <w:tcPr>
            <w:tcW w:w="1278" w:type="dxa"/>
          </w:tcPr>
          <w:p w14:paraId="270CE510" w14:textId="17647CB5" w:rsidR="00CD5902" w:rsidRDefault="00CD5902">
            <w:r>
              <w:t>Reports</w:t>
            </w:r>
          </w:p>
        </w:tc>
        <w:tc>
          <w:tcPr>
            <w:tcW w:w="4345" w:type="dxa"/>
          </w:tcPr>
          <w:p w14:paraId="2A417FB2" w14:textId="77777777" w:rsidR="009050A8" w:rsidRDefault="000E6C2D">
            <w:hyperlink r:id="rId8" w:history="1">
              <w:r w:rsidR="009050A8" w:rsidRPr="009050A8">
                <w:rPr>
                  <w:rStyle w:val="Hyperlink"/>
                </w:rPr>
                <w:t>CDE</w:t>
              </w:r>
            </w:hyperlink>
          </w:p>
          <w:p w14:paraId="410E1014" w14:textId="77777777" w:rsidR="009050A8" w:rsidRDefault="000E6C2D">
            <w:hyperlink r:id="rId9" w:history="1">
              <w:r w:rsidR="009050A8" w:rsidRPr="009050A8">
                <w:rPr>
                  <w:rStyle w:val="Hyperlink"/>
                </w:rPr>
                <w:t>LCFF Overview</w:t>
              </w:r>
            </w:hyperlink>
          </w:p>
          <w:p w14:paraId="767E2781" w14:textId="538BB8C4" w:rsidR="00CD5902" w:rsidRDefault="000E6C2D">
            <w:hyperlink r:id="rId10" w:history="1">
              <w:r w:rsidR="009050A8" w:rsidRPr="009050A8">
                <w:rPr>
                  <w:rStyle w:val="Hyperlink"/>
                </w:rPr>
                <w:t>Foster Youth Education Toolkit.pdf</w:t>
              </w:r>
            </w:hyperlink>
          </w:p>
          <w:p w14:paraId="34BC5348" w14:textId="4589B0AD" w:rsidR="009050A8" w:rsidRDefault="000E6C2D">
            <w:hyperlink r:id="rId11" w:history="1">
              <w:r w:rsidR="009050A8" w:rsidRPr="009050A8">
                <w:rPr>
                  <w:rStyle w:val="Hyperlink"/>
                </w:rPr>
                <w:t>Partial Credit Report - September 2013.pdf</w:t>
              </w:r>
            </w:hyperlink>
          </w:p>
        </w:tc>
        <w:tc>
          <w:tcPr>
            <w:tcW w:w="4808" w:type="dxa"/>
          </w:tcPr>
          <w:p w14:paraId="37D3BB09" w14:textId="4DFA8CCB" w:rsidR="00CD5902" w:rsidRDefault="000E6C2D">
            <w:hyperlink r:id="rId12" w:history="1">
              <w:r w:rsidR="009050A8" w:rsidRPr="009050A8">
                <w:rPr>
                  <w:rStyle w:val="Hyperlink"/>
                </w:rPr>
                <w:t>http://www.dhcs.ca.gov/Documents/FY_13-14_01_2015.pdf</w:t>
              </w:r>
            </w:hyperlink>
          </w:p>
        </w:tc>
        <w:tc>
          <w:tcPr>
            <w:tcW w:w="3987" w:type="dxa"/>
          </w:tcPr>
          <w:p w14:paraId="36A81761" w14:textId="2CADF673" w:rsidR="00A9313C" w:rsidRDefault="00B959A1">
            <w:r>
              <w:t xml:space="preserve">Care </w:t>
            </w:r>
            <w:r w:rsidR="00A9313C">
              <w:t xml:space="preserve">plan measure? </w:t>
            </w:r>
          </w:p>
          <w:p w14:paraId="2E767049" w14:textId="28930EDD" w:rsidR="00B959A1" w:rsidRDefault="000E6C2D">
            <w:hyperlink r:id="rId13" w:history="1">
              <w:r w:rsidR="00A9313C" w:rsidRPr="00A9313C">
                <w:rPr>
                  <w:rStyle w:val="Hyperlink"/>
                </w:rPr>
                <w:t>CWS/CMS measures</w:t>
              </w:r>
            </w:hyperlink>
            <w:r w:rsidR="00A9313C">
              <w:t xml:space="preserve"> on permanency and placement stability and authorization of psychotropic medication</w:t>
            </w:r>
          </w:p>
          <w:p w14:paraId="28D45C2A" w14:textId="77777777" w:rsidR="00BB0752" w:rsidRDefault="00B959A1">
            <w:r>
              <w:t>None to date on claims data for services</w:t>
            </w:r>
            <w:r w:rsidR="00BB0752">
              <w:t>,</w:t>
            </w:r>
            <w:r>
              <w:t xml:space="preserve"> psych med use or </w:t>
            </w:r>
            <w:proofErr w:type="spellStart"/>
            <w:r>
              <w:t>polypharmacy</w:t>
            </w:r>
            <w:proofErr w:type="spellEnd"/>
            <w:r>
              <w:t xml:space="preserve"> </w:t>
            </w:r>
          </w:p>
          <w:p w14:paraId="2C69A4B4" w14:textId="6A931B81" w:rsidR="009050A8" w:rsidRDefault="009050A8"/>
        </w:tc>
      </w:tr>
      <w:tr w:rsidR="00BB0752" w14:paraId="116AC673" w14:textId="77777777" w:rsidTr="009050A8">
        <w:tc>
          <w:tcPr>
            <w:tcW w:w="1278" w:type="dxa"/>
            <w:shd w:val="clear" w:color="auto" w:fill="DAEEF3" w:themeFill="accent5" w:themeFillTint="33"/>
          </w:tcPr>
          <w:p w14:paraId="4F2ED422" w14:textId="08C950A7" w:rsidR="00BB0752" w:rsidRDefault="00BB0752"/>
        </w:tc>
        <w:tc>
          <w:tcPr>
            <w:tcW w:w="4345" w:type="dxa"/>
            <w:shd w:val="clear" w:color="auto" w:fill="DAEEF3" w:themeFill="accent5" w:themeFillTint="33"/>
          </w:tcPr>
          <w:p w14:paraId="528D0374" w14:textId="1EDFE87A" w:rsidR="00BB0752" w:rsidRDefault="00BB0752" w:rsidP="0030482F">
            <w:pPr>
              <w:jc w:val="center"/>
            </w:pPr>
            <w:r>
              <w:t>Partial Credit/ LCFF /School based service provision</w:t>
            </w:r>
          </w:p>
        </w:tc>
        <w:tc>
          <w:tcPr>
            <w:tcW w:w="4808" w:type="dxa"/>
            <w:shd w:val="clear" w:color="auto" w:fill="DAEEF3" w:themeFill="accent5" w:themeFillTint="33"/>
          </w:tcPr>
          <w:p w14:paraId="06CA5096" w14:textId="7E007496" w:rsidR="00BB0752" w:rsidRPr="00626CC5" w:rsidRDefault="00BB0752" w:rsidP="0030482F">
            <w:pPr>
              <w:jc w:val="center"/>
              <w:rPr>
                <w:rFonts w:ascii="Times New Roman" w:eastAsia="Times New Roman" w:hAnsi="Times New Roman" w:cs="Times New Roman"/>
                <w:sz w:val="20"/>
                <w:szCs w:val="20"/>
              </w:rPr>
            </w:pPr>
            <w:r>
              <w:t>Katie A</w:t>
            </w:r>
          </w:p>
        </w:tc>
        <w:tc>
          <w:tcPr>
            <w:tcW w:w="3987" w:type="dxa"/>
            <w:shd w:val="clear" w:color="auto" w:fill="DAEEF3" w:themeFill="accent5" w:themeFillTint="33"/>
          </w:tcPr>
          <w:p w14:paraId="1A823CFF" w14:textId="72859879" w:rsidR="00BB0752" w:rsidRDefault="00BB0752" w:rsidP="0030482F">
            <w:pPr>
              <w:jc w:val="center"/>
            </w:pPr>
            <w:r>
              <w:t>QIP</w:t>
            </w:r>
          </w:p>
        </w:tc>
      </w:tr>
      <w:tr w:rsidR="00CD5902" w14:paraId="6E6A6CED" w14:textId="77777777" w:rsidTr="009050A8">
        <w:tc>
          <w:tcPr>
            <w:tcW w:w="1278" w:type="dxa"/>
          </w:tcPr>
          <w:p w14:paraId="1A6699CC" w14:textId="77777777" w:rsidR="00CD5902" w:rsidRDefault="00CD5902">
            <w:r>
              <w:t>Measures</w:t>
            </w:r>
          </w:p>
        </w:tc>
        <w:tc>
          <w:tcPr>
            <w:tcW w:w="4345" w:type="dxa"/>
          </w:tcPr>
          <w:p w14:paraId="6D26F628" w14:textId="77777777" w:rsidR="00CD5902" w:rsidRDefault="00CD5902"/>
        </w:tc>
        <w:tc>
          <w:tcPr>
            <w:tcW w:w="4808" w:type="dxa"/>
          </w:tcPr>
          <w:p w14:paraId="0ABE4E93" w14:textId="77777777" w:rsidR="00CD5902" w:rsidRDefault="00CD5902" w:rsidP="00CD5902">
            <w:pPr>
              <w:rPr>
                <w:rFonts w:ascii="Times" w:eastAsia="Times New Roman" w:hAnsi="Times" w:cs="Times New Roman"/>
                <w:sz w:val="20"/>
                <w:szCs w:val="20"/>
              </w:rPr>
            </w:pPr>
            <w:r w:rsidRPr="00626CC5">
              <w:rPr>
                <w:rFonts w:ascii="Times New Roman" w:eastAsia="Times New Roman" w:hAnsi="Times New Roman" w:cs="Times New Roman"/>
                <w:sz w:val="20"/>
                <w:szCs w:val="20"/>
              </w:rPr>
              <w:t>►</w:t>
            </w:r>
            <w:r w:rsidRPr="00626CC5">
              <w:rPr>
                <w:rFonts w:ascii="Times" w:eastAsia="Times New Roman" w:hAnsi="Times" w:cs="Times New Roman"/>
                <w:sz w:val="20"/>
                <w:szCs w:val="20"/>
              </w:rPr>
              <w:t xml:space="preserve">The number of subclass members </w:t>
            </w:r>
          </w:p>
          <w:p w14:paraId="41D92290" w14:textId="77777777" w:rsidR="00CD5902" w:rsidRDefault="00CD5902" w:rsidP="00CD5902">
            <w:pPr>
              <w:rPr>
                <w:rFonts w:ascii="Times" w:eastAsia="Times New Roman" w:hAnsi="Times" w:cs="Times New Roman"/>
                <w:sz w:val="20"/>
                <w:szCs w:val="20"/>
              </w:rPr>
            </w:pPr>
            <w:r w:rsidRPr="00626CC5">
              <w:rPr>
                <w:rFonts w:ascii="Times New Roman" w:eastAsia="Times New Roman" w:hAnsi="Times New Roman" w:cs="Times New Roman"/>
                <w:sz w:val="20"/>
                <w:szCs w:val="20"/>
              </w:rPr>
              <w:t>►</w:t>
            </w:r>
            <w:r>
              <w:rPr>
                <w:rFonts w:ascii="Times" w:eastAsia="Times New Roman" w:hAnsi="Times" w:cs="Times New Roman"/>
                <w:sz w:val="20"/>
                <w:szCs w:val="20"/>
              </w:rPr>
              <w:t>Total approved amount to date</w:t>
            </w:r>
            <w:r w:rsidRPr="00626CC5">
              <w:rPr>
                <w:rFonts w:ascii="Times" w:eastAsia="Times New Roman" w:hAnsi="Times" w:cs="Times New Roman"/>
                <w:sz w:val="20"/>
                <w:szCs w:val="20"/>
              </w:rPr>
              <w:t xml:space="preserve"> $ </w:t>
            </w:r>
          </w:p>
          <w:p w14:paraId="420FBAE4" w14:textId="77777777" w:rsidR="00CD5902" w:rsidRDefault="00CD5902" w:rsidP="00CD5902">
            <w:pPr>
              <w:rPr>
                <w:rFonts w:ascii="Times" w:eastAsia="Times New Roman" w:hAnsi="Times" w:cs="Times New Roman"/>
                <w:sz w:val="20"/>
                <w:szCs w:val="20"/>
              </w:rPr>
            </w:pPr>
            <w:r w:rsidRPr="00626CC5">
              <w:rPr>
                <w:rFonts w:ascii="Times New Roman" w:eastAsia="Times New Roman" w:hAnsi="Times New Roman" w:cs="Times New Roman"/>
                <w:sz w:val="20"/>
                <w:szCs w:val="20"/>
              </w:rPr>
              <w:t>►</w:t>
            </w:r>
            <w:r w:rsidRPr="00626CC5">
              <w:rPr>
                <w:rFonts w:ascii="Times" w:eastAsia="Times New Roman" w:hAnsi="Times" w:cs="Times New Roman"/>
                <w:sz w:val="20"/>
                <w:szCs w:val="20"/>
              </w:rPr>
              <w:t xml:space="preserve">The total amount of ICC minutes provided to subclass members to date </w:t>
            </w:r>
          </w:p>
          <w:p w14:paraId="708188BA" w14:textId="77777777" w:rsidR="00CD5902" w:rsidRDefault="00CD5902" w:rsidP="00CD5902">
            <w:pPr>
              <w:rPr>
                <w:rFonts w:ascii="Times" w:eastAsia="Times New Roman" w:hAnsi="Times" w:cs="Times New Roman"/>
                <w:sz w:val="20"/>
                <w:szCs w:val="20"/>
              </w:rPr>
            </w:pPr>
            <w:r w:rsidRPr="00626CC5">
              <w:rPr>
                <w:rFonts w:ascii="Times New Roman" w:eastAsia="Times New Roman" w:hAnsi="Times New Roman" w:cs="Times New Roman"/>
                <w:sz w:val="20"/>
                <w:szCs w:val="20"/>
              </w:rPr>
              <w:t>►</w:t>
            </w:r>
            <w:r w:rsidRPr="00626CC5">
              <w:rPr>
                <w:rFonts w:ascii="Times" w:eastAsia="Times New Roman" w:hAnsi="Times" w:cs="Times New Roman"/>
                <w:sz w:val="20"/>
                <w:szCs w:val="20"/>
              </w:rPr>
              <w:t xml:space="preserve">The total amount of IHBS minutes provided to subclass members to date </w:t>
            </w:r>
          </w:p>
          <w:p w14:paraId="346747D9" w14:textId="77777777" w:rsidR="00CD5902" w:rsidRDefault="00CD5902" w:rsidP="00CD5902">
            <w:pPr>
              <w:rPr>
                <w:rFonts w:ascii="Times" w:eastAsia="Times New Roman" w:hAnsi="Times" w:cs="Times New Roman"/>
                <w:sz w:val="20"/>
                <w:szCs w:val="20"/>
              </w:rPr>
            </w:pPr>
            <w:r w:rsidRPr="00626CC5">
              <w:rPr>
                <w:rFonts w:ascii="Times New Roman" w:eastAsia="Times New Roman" w:hAnsi="Times New Roman" w:cs="Times New Roman"/>
                <w:sz w:val="20"/>
                <w:szCs w:val="20"/>
              </w:rPr>
              <w:t>►</w:t>
            </w:r>
            <w:r w:rsidRPr="00626CC5">
              <w:rPr>
                <w:rFonts w:ascii="Times" w:eastAsia="Times New Roman" w:hAnsi="Times" w:cs="Times New Roman"/>
                <w:sz w:val="20"/>
                <w:szCs w:val="20"/>
              </w:rPr>
              <w:t xml:space="preserve">The total number of counties with approved claims for ICC and/or IHBS is 44. </w:t>
            </w:r>
          </w:p>
          <w:p w14:paraId="793C2878" w14:textId="77777777" w:rsidR="00CD5902" w:rsidRDefault="00CD5902" w:rsidP="00CD5902">
            <w:pPr>
              <w:rPr>
                <w:rFonts w:ascii="Times" w:eastAsia="Times New Roman" w:hAnsi="Times" w:cs="Times New Roman"/>
                <w:sz w:val="20"/>
                <w:szCs w:val="20"/>
              </w:rPr>
            </w:pPr>
            <w:r w:rsidRPr="00626CC5">
              <w:rPr>
                <w:rFonts w:ascii="Times" w:eastAsia="Times New Roman" w:hAnsi="Times" w:cs="Times New Roman"/>
                <w:sz w:val="20"/>
                <w:szCs w:val="20"/>
              </w:rPr>
              <w:t xml:space="preserve">• Approved Service Claims: The total number of approved service lines adjudicated through the SDMC claiming system regardless of minutes or duplicate subclass member counts. </w:t>
            </w:r>
          </w:p>
          <w:p w14:paraId="13E97F3A" w14:textId="77777777" w:rsidR="00CD5902" w:rsidRDefault="00CD5902" w:rsidP="00CD5902">
            <w:pPr>
              <w:rPr>
                <w:rFonts w:ascii="Times" w:eastAsia="Times New Roman" w:hAnsi="Times" w:cs="Times New Roman"/>
                <w:sz w:val="20"/>
                <w:szCs w:val="20"/>
              </w:rPr>
            </w:pPr>
            <w:r w:rsidRPr="00626CC5">
              <w:rPr>
                <w:rFonts w:ascii="Times" w:eastAsia="Times New Roman" w:hAnsi="Times" w:cs="Times New Roman"/>
                <w:sz w:val="20"/>
                <w:szCs w:val="20"/>
              </w:rPr>
              <w:t xml:space="preserve">• Total Amount of Approved Katie A Services: The sum of all total approved amounts by the SDMC claiming system for claims with a DPI of "KTA" or claims billed with either Intensive Care Coordination or Intensive Home Based Services. </w:t>
            </w:r>
          </w:p>
          <w:p w14:paraId="7FC2A2D1" w14:textId="77777777" w:rsidR="00CD5902" w:rsidRDefault="00CD5902" w:rsidP="00CD5902">
            <w:pPr>
              <w:rPr>
                <w:rFonts w:ascii="Times" w:eastAsia="Times New Roman" w:hAnsi="Times" w:cs="Times New Roman"/>
                <w:sz w:val="20"/>
                <w:szCs w:val="20"/>
              </w:rPr>
            </w:pPr>
            <w:r w:rsidRPr="00626CC5">
              <w:rPr>
                <w:rFonts w:ascii="Times" w:eastAsia="Times New Roman" w:hAnsi="Times" w:cs="Times New Roman"/>
                <w:sz w:val="20"/>
                <w:szCs w:val="20"/>
              </w:rPr>
              <w:t xml:space="preserve">• Approved ICC &amp; IHBS Minutes*: The total number of approved Intensive Care Coordination and Intensive Home Based Services minutes adjudicated through the SDMC claiming system. </w:t>
            </w:r>
          </w:p>
          <w:p w14:paraId="68ED2874" w14:textId="77777777" w:rsidR="00CD5902" w:rsidRDefault="00CD5902" w:rsidP="00CD5902">
            <w:pPr>
              <w:rPr>
                <w:rFonts w:ascii="Times" w:eastAsia="Times New Roman" w:hAnsi="Times" w:cs="Times New Roman"/>
                <w:sz w:val="20"/>
                <w:szCs w:val="20"/>
              </w:rPr>
            </w:pPr>
            <w:r w:rsidRPr="00626CC5">
              <w:rPr>
                <w:rFonts w:ascii="Times" w:eastAsia="Times New Roman" w:hAnsi="Times" w:cs="Times New Roman"/>
                <w:sz w:val="20"/>
                <w:szCs w:val="20"/>
              </w:rPr>
              <w:t xml:space="preserve">• Unduplicated Katie A. Subclass Members: The total number of unique Katie A subclass members linked to claims adjudicated and approved through the SDMC claiming system in a particular month (bar graph charts) or for previous 12 months (county table). </w:t>
            </w:r>
          </w:p>
          <w:p w14:paraId="6D35E625" w14:textId="77777777" w:rsidR="00CD5902" w:rsidRPr="00626CC5" w:rsidRDefault="00CD5902" w:rsidP="00CD5902">
            <w:pPr>
              <w:rPr>
                <w:rFonts w:ascii="Times" w:eastAsia="Times New Roman" w:hAnsi="Times" w:cs="Times New Roman"/>
                <w:sz w:val="20"/>
                <w:szCs w:val="20"/>
              </w:rPr>
            </w:pPr>
            <w:r w:rsidRPr="00626CC5">
              <w:rPr>
                <w:rFonts w:ascii="Times New Roman" w:eastAsia="Times New Roman" w:hAnsi="Times New Roman" w:cs="Times New Roman"/>
                <w:sz w:val="20"/>
                <w:szCs w:val="20"/>
              </w:rPr>
              <w:t>►</w:t>
            </w:r>
            <w:r w:rsidRPr="00626CC5">
              <w:rPr>
                <w:rFonts w:ascii="Times" w:eastAsia="Times New Roman" w:hAnsi="Times" w:cs="Times New Roman"/>
                <w:sz w:val="20"/>
                <w:szCs w:val="20"/>
              </w:rPr>
              <w:t>The total number of counties using the KTA Demonstration Project Identifier is 47.</w:t>
            </w:r>
          </w:p>
          <w:p w14:paraId="47CB0AE2" w14:textId="77777777" w:rsidR="00CD5902" w:rsidRDefault="00CD5902"/>
        </w:tc>
        <w:tc>
          <w:tcPr>
            <w:tcW w:w="3987" w:type="dxa"/>
          </w:tcPr>
          <w:p w14:paraId="536D5A3D" w14:textId="77777777" w:rsidR="00A9313C" w:rsidRDefault="00A9313C">
            <w:r>
              <w:t>Outcome Measures Drafted by State Workgroup for the following:</w:t>
            </w:r>
          </w:p>
          <w:p w14:paraId="252BC3B5" w14:textId="77777777" w:rsidR="00A9313C" w:rsidRDefault="00A9313C">
            <w:pPr>
              <w:rPr>
                <w:rFonts w:ascii="Times New Roman" w:eastAsia="Times New Roman" w:hAnsi="Times New Roman" w:cs="Times New Roman"/>
                <w:sz w:val="20"/>
                <w:szCs w:val="20"/>
              </w:rPr>
            </w:pPr>
            <w:r w:rsidRPr="00626CC5">
              <w:rPr>
                <w:rFonts w:ascii="Times New Roman" w:eastAsia="Times New Roman" w:hAnsi="Times New Roman" w:cs="Times New Roman"/>
                <w:sz w:val="20"/>
                <w:szCs w:val="20"/>
              </w:rPr>
              <w:t>►</w:t>
            </w:r>
            <w:r>
              <w:rPr>
                <w:rFonts w:ascii="Times New Roman" w:eastAsia="Times New Roman" w:hAnsi="Times New Roman" w:cs="Times New Roman"/>
                <w:sz w:val="20"/>
                <w:szCs w:val="20"/>
              </w:rPr>
              <w:t>Total number of children on psychotropic medications</w:t>
            </w:r>
          </w:p>
          <w:p w14:paraId="1AFFBFA9" w14:textId="77777777" w:rsidR="00A9313C" w:rsidRDefault="00A9313C">
            <w:pPr>
              <w:rPr>
                <w:rFonts w:ascii="Times New Roman" w:eastAsia="Times New Roman" w:hAnsi="Times New Roman" w:cs="Times New Roman"/>
                <w:sz w:val="20"/>
                <w:szCs w:val="20"/>
              </w:rPr>
            </w:pPr>
            <w:r w:rsidRPr="00626CC5">
              <w:rPr>
                <w:rFonts w:ascii="Times New Roman" w:eastAsia="Times New Roman" w:hAnsi="Times New Roman" w:cs="Times New Roman"/>
                <w:sz w:val="20"/>
                <w:szCs w:val="20"/>
              </w:rPr>
              <w:t>►</w:t>
            </w:r>
            <w:r>
              <w:rPr>
                <w:rFonts w:ascii="Times New Roman" w:eastAsia="Times New Roman" w:hAnsi="Times New Roman" w:cs="Times New Roman"/>
                <w:sz w:val="20"/>
                <w:szCs w:val="20"/>
              </w:rPr>
              <w:t>Total number of children on multiple medications</w:t>
            </w:r>
          </w:p>
          <w:p w14:paraId="6068861E" w14:textId="77777777" w:rsidR="00A9313C" w:rsidRDefault="00A9313C">
            <w:pPr>
              <w:rPr>
                <w:rFonts w:ascii="Times New Roman" w:eastAsia="Times New Roman" w:hAnsi="Times New Roman" w:cs="Times New Roman"/>
                <w:sz w:val="20"/>
                <w:szCs w:val="20"/>
              </w:rPr>
            </w:pPr>
            <w:r w:rsidRPr="00626CC5">
              <w:rPr>
                <w:rFonts w:ascii="Times New Roman" w:eastAsia="Times New Roman" w:hAnsi="Times New Roman" w:cs="Times New Roman"/>
                <w:sz w:val="20"/>
                <w:szCs w:val="20"/>
              </w:rPr>
              <w:t>►</w:t>
            </w:r>
            <w:r>
              <w:rPr>
                <w:rFonts w:ascii="Times New Roman" w:eastAsia="Times New Roman" w:hAnsi="Times New Roman" w:cs="Times New Roman"/>
                <w:sz w:val="20"/>
                <w:szCs w:val="20"/>
              </w:rPr>
              <w:t>Total number of children with psychosocial services billed and psychotropic medications billed</w:t>
            </w:r>
          </w:p>
          <w:p w14:paraId="24EE10EE" w14:textId="77777777" w:rsidR="00A9313C" w:rsidRDefault="00A9313C">
            <w:pPr>
              <w:rPr>
                <w:rFonts w:ascii="Times New Roman" w:eastAsia="Times New Roman" w:hAnsi="Times New Roman" w:cs="Times New Roman"/>
                <w:sz w:val="20"/>
                <w:szCs w:val="20"/>
              </w:rPr>
            </w:pPr>
            <w:r w:rsidRPr="00626CC5">
              <w:rPr>
                <w:rFonts w:ascii="Times New Roman" w:eastAsia="Times New Roman" w:hAnsi="Times New Roman" w:cs="Times New Roman"/>
                <w:sz w:val="20"/>
                <w:szCs w:val="20"/>
              </w:rPr>
              <w:t>►</w:t>
            </w:r>
            <w:r>
              <w:rPr>
                <w:rFonts w:ascii="Times New Roman" w:eastAsia="Times New Roman" w:hAnsi="Times New Roman" w:cs="Times New Roman"/>
                <w:sz w:val="20"/>
                <w:szCs w:val="20"/>
              </w:rPr>
              <w:t>Total number of children with baseline screening</w:t>
            </w:r>
          </w:p>
          <w:p w14:paraId="5C0C40BE" w14:textId="77777777" w:rsidR="00A9313C" w:rsidRDefault="00A9313C">
            <w:pPr>
              <w:rPr>
                <w:rFonts w:ascii="Times New Roman" w:eastAsia="Times New Roman" w:hAnsi="Times New Roman" w:cs="Times New Roman"/>
                <w:sz w:val="20"/>
                <w:szCs w:val="20"/>
              </w:rPr>
            </w:pPr>
            <w:r w:rsidRPr="00626CC5">
              <w:rPr>
                <w:rFonts w:ascii="Times New Roman" w:eastAsia="Times New Roman" w:hAnsi="Times New Roman" w:cs="Times New Roman"/>
                <w:sz w:val="20"/>
                <w:szCs w:val="20"/>
              </w:rPr>
              <w:t>►</w:t>
            </w:r>
            <w:r>
              <w:rPr>
                <w:rFonts w:ascii="Times New Roman" w:eastAsia="Times New Roman" w:hAnsi="Times New Roman" w:cs="Times New Roman"/>
                <w:sz w:val="20"/>
                <w:szCs w:val="20"/>
              </w:rPr>
              <w:t>Total number of children with monitoring visits billed</w:t>
            </w:r>
          </w:p>
          <w:p w14:paraId="5D1CA166" w14:textId="77777777" w:rsidR="00A9313C" w:rsidRDefault="00A9313C">
            <w:r w:rsidRPr="00626CC5">
              <w:rPr>
                <w:rFonts w:ascii="Times New Roman" w:eastAsia="Times New Roman" w:hAnsi="Times New Roman" w:cs="Times New Roman"/>
                <w:sz w:val="20"/>
                <w:szCs w:val="20"/>
              </w:rPr>
              <w:t>►</w:t>
            </w:r>
            <w:r>
              <w:rPr>
                <w:rFonts w:ascii="Times New Roman" w:eastAsia="Times New Roman" w:hAnsi="Times New Roman" w:cs="Times New Roman"/>
                <w:sz w:val="20"/>
                <w:szCs w:val="20"/>
              </w:rPr>
              <w:t>Total number of children with office visits billed</w:t>
            </w:r>
          </w:p>
          <w:p w14:paraId="2E68A0DF" w14:textId="77777777" w:rsidR="00A9313C" w:rsidRDefault="00A9313C"/>
          <w:p w14:paraId="7EF0442E" w14:textId="77777777" w:rsidR="00A9313C" w:rsidRDefault="00A9313C">
            <w:r>
              <w:t xml:space="preserve">CWS/CMS measures </w:t>
            </w:r>
          </w:p>
          <w:p w14:paraId="62748940" w14:textId="77777777" w:rsidR="00A9313C" w:rsidRDefault="00A9313C">
            <w:pPr>
              <w:rPr>
                <w:rFonts w:ascii="Times New Roman" w:eastAsia="Times New Roman" w:hAnsi="Times New Roman" w:cs="Times New Roman"/>
                <w:sz w:val="20"/>
                <w:szCs w:val="20"/>
              </w:rPr>
            </w:pPr>
            <w:r w:rsidRPr="00626CC5">
              <w:rPr>
                <w:rFonts w:ascii="Times New Roman" w:eastAsia="Times New Roman" w:hAnsi="Times New Roman" w:cs="Times New Roman"/>
                <w:sz w:val="20"/>
                <w:szCs w:val="20"/>
              </w:rPr>
              <w:t>►</w:t>
            </w:r>
            <w:r>
              <w:rPr>
                <w:rFonts w:ascii="Times New Roman" w:eastAsia="Times New Roman" w:hAnsi="Times New Roman" w:cs="Times New Roman"/>
                <w:sz w:val="20"/>
                <w:szCs w:val="20"/>
              </w:rPr>
              <w:t>Measure 5f Psychotropic medication authorizations</w:t>
            </w:r>
          </w:p>
          <w:p w14:paraId="2BC255DC" w14:textId="77777777" w:rsidR="00A9313C" w:rsidRPr="00A9313C" w:rsidRDefault="00A9313C" w:rsidP="00A9313C">
            <w:pPr>
              <w:rPr>
                <w:rFonts w:ascii="Times New Roman" w:eastAsia="Times New Roman" w:hAnsi="Times New Roman" w:cs="Times New Roman"/>
                <w:sz w:val="20"/>
                <w:szCs w:val="20"/>
              </w:rPr>
            </w:pPr>
            <w:r w:rsidRPr="00626CC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Measures </w:t>
            </w:r>
            <w:r w:rsidRPr="00A9313C">
              <w:rPr>
                <w:rFonts w:ascii="Times New Roman" w:eastAsia="Times New Roman" w:hAnsi="Times New Roman" w:cs="Times New Roman"/>
                <w:sz w:val="20"/>
                <w:szCs w:val="20"/>
              </w:rPr>
              <w:t xml:space="preserve">C3.1 * Exits to permanency (24 months in care) </w:t>
            </w:r>
          </w:p>
          <w:p w14:paraId="5964AB31" w14:textId="77777777" w:rsidR="00A9313C" w:rsidRPr="00A9313C" w:rsidRDefault="00A9313C" w:rsidP="00A9313C">
            <w:pPr>
              <w:rPr>
                <w:rFonts w:ascii="Times New Roman" w:eastAsia="Times New Roman" w:hAnsi="Times New Roman" w:cs="Times New Roman"/>
                <w:sz w:val="20"/>
                <w:szCs w:val="20"/>
              </w:rPr>
            </w:pPr>
            <w:r w:rsidRPr="00A9313C">
              <w:rPr>
                <w:rFonts w:ascii="Times New Roman" w:eastAsia="Times New Roman" w:hAnsi="Times New Roman" w:cs="Times New Roman"/>
                <w:sz w:val="20"/>
                <w:szCs w:val="20"/>
              </w:rPr>
              <w:t xml:space="preserve">C3.2 * Exits to permanency (legally free at exit) </w:t>
            </w:r>
          </w:p>
          <w:p w14:paraId="06086194" w14:textId="77777777" w:rsidR="00A9313C" w:rsidRPr="00A9313C" w:rsidRDefault="00A9313C" w:rsidP="00A9313C">
            <w:pPr>
              <w:rPr>
                <w:rFonts w:ascii="Times New Roman" w:eastAsia="Times New Roman" w:hAnsi="Times New Roman" w:cs="Times New Roman"/>
                <w:sz w:val="20"/>
                <w:szCs w:val="20"/>
              </w:rPr>
            </w:pPr>
            <w:r w:rsidRPr="00A9313C">
              <w:rPr>
                <w:rFonts w:ascii="Times New Roman" w:eastAsia="Times New Roman" w:hAnsi="Times New Roman" w:cs="Times New Roman"/>
                <w:sz w:val="20"/>
                <w:szCs w:val="20"/>
              </w:rPr>
              <w:t xml:space="preserve">C3.3 * In care 3 years or longer (emancipated or age 18 in care) </w:t>
            </w:r>
          </w:p>
          <w:p w14:paraId="0A941807" w14:textId="77777777" w:rsidR="00A9313C" w:rsidRPr="00A9313C" w:rsidRDefault="00A9313C">
            <w:pPr>
              <w:rPr>
                <w:rFonts w:ascii="Times New Roman" w:eastAsia="Times New Roman" w:hAnsi="Times New Roman" w:cs="Times New Roman"/>
                <w:sz w:val="20"/>
                <w:szCs w:val="20"/>
              </w:rPr>
            </w:pPr>
            <w:r w:rsidRPr="00626CC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Measure </w:t>
            </w:r>
            <w:r w:rsidRPr="00A9313C">
              <w:rPr>
                <w:rFonts w:ascii="Times New Roman" w:eastAsia="Times New Roman" w:hAnsi="Times New Roman" w:cs="Times New Roman"/>
                <w:sz w:val="20"/>
                <w:szCs w:val="20"/>
              </w:rPr>
              <w:t>C4.1,2,3 * Placement stability</w:t>
            </w:r>
          </w:p>
        </w:tc>
      </w:tr>
    </w:tbl>
    <w:p w14:paraId="3877712B" w14:textId="77777777" w:rsidR="003E606B" w:rsidRDefault="003E606B"/>
    <w:sectPr w:rsidR="003E606B" w:rsidSect="00CD5902">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635A1" w14:textId="77777777" w:rsidR="000359D0" w:rsidRDefault="000359D0" w:rsidP="00BB0752">
      <w:r>
        <w:separator/>
      </w:r>
    </w:p>
  </w:endnote>
  <w:endnote w:type="continuationSeparator" w:id="0">
    <w:p w14:paraId="6D576838" w14:textId="77777777" w:rsidR="000359D0" w:rsidRDefault="000359D0" w:rsidP="00BB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DF751" w14:textId="77777777" w:rsidR="000359D0" w:rsidRDefault="00035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DA570" w14:textId="77777777" w:rsidR="000359D0" w:rsidRDefault="000359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C7444" w14:textId="77777777" w:rsidR="000359D0" w:rsidRDefault="00035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93AEC" w14:textId="77777777" w:rsidR="000359D0" w:rsidRDefault="000359D0" w:rsidP="00BB0752">
      <w:r>
        <w:separator/>
      </w:r>
    </w:p>
  </w:footnote>
  <w:footnote w:type="continuationSeparator" w:id="0">
    <w:p w14:paraId="24685EA6" w14:textId="77777777" w:rsidR="000359D0" w:rsidRDefault="000359D0" w:rsidP="00BB0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60D02" w14:textId="2FBD26C9" w:rsidR="000359D0" w:rsidRDefault="000E6C2D">
    <w:pPr>
      <w:pStyle w:val="Header"/>
    </w:pPr>
    <w:r>
      <w:rPr>
        <w:noProof/>
      </w:rPr>
      <w:pict w14:anchorId="3D884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10in;height:240pt;z-index:-251655168;mso-wrap-edited:f;mso-position-horizontal:center;mso-position-horizontal-relative:margin;mso-position-vertical:center;mso-position-vertical-relative:margin" wrapcoords="11160 5062 405 5130 382 5670 697 6142 787 8302 765 15862 450 16942 405 17010 382 17347 20295 17347 20272 17010 20205 16942 19867 15862 19845 9382 21397 8370 21397 5130 11812 5062 11160 5062"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72A00" w14:textId="21D29B8C" w:rsidR="000E6C2D" w:rsidRDefault="000E6C2D" w:rsidP="000E6C2D">
    <w:pPr>
      <w:pStyle w:val="Header"/>
      <w:jc w:val="center"/>
    </w:pPr>
    <w:bookmarkStart w:id="0" w:name="_GoBack"/>
    <w:bookmarkEnd w:id="0"/>
    <w:r>
      <w:t>Comparison Chart: Partial Credit/LCFF/School-Based Service Provision with Katie A Settlement with Quality Improvement Project</w:t>
    </w:r>
  </w:p>
  <w:p w14:paraId="70E13D54" w14:textId="06D48521" w:rsidR="000359D0" w:rsidRDefault="000E6C2D">
    <w:pPr>
      <w:pStyle w:val="Header"/>
    </w:pPr>
    <w:r>
      <w:rPr>
        <w:noProof/>
      </w:rPr>
      <w:pict w14:anchorId="08678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10in;height:240pt;z-index:-251657216;mso-wrap-edited:f;mso-position-horizontal:center;mso-position-horizontal-relative:margin;mso-position-vertical:center;mso-position-vertical-relative:margin" wrapcoords="11160 5062 405 5130 382 5670 697 6142 787 8302 765 15862 450 16942 405 17010 382 17347 20295 17347 20272 17010 20205 16942 19867 15862 19845 9382 21397 8370 21397 5130 11812 5062 11160 5062"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6A167" w14:textId="1E2C6EFC" w:rsidR="000359D0" w:rsidRDefault="000E6C2D">
    <w:pPr>
      <w:pStyle w:val="Header"/>
    </w:pPr>
    <w:r>
      <w:rPr>
        <w:noProof/>
      </w:rPr>
      <w:pict w14:anchorId="018674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10in;height:240pt;z-index:-251653120;mso-wrap-edited:f;mso-position-horizontal:center;mso-position-horizontal-relative:margin;mso-position-vertical:center;mso-position-vertical-relative:margin" wrapcoords="11160 5062 405 5130 382 5670 697 6142 787 8302 765 15862 450 16942 405 17010 382 17347 20295 17347 20272 17010 20205 16942 19867 15862 19845 9382 21397 8370 21397 5130 11812 5062 11160 5062"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02"/>
    <w:rsid w:val="000359D0"/>
    <w:rsid w:val="000E6C2D"/>
    <w:rsid w:val="001A21E1"/>
    <w:rsid w:val="0030482F"/>
    <w:rsid w:val="003919E0"/>
    <w:rsid w:val="003E606B"/>
    <w:rsid w:val="00635D4E"/>
    <w:rsid w:val="0086099B"/>
    <w:rsid w:val="009050A8"/>
    <w:rsid w:val="00942C22"/>
    <w:rsid w:val="00A41CBA"/>
    <w:rsid w:val="00A66BA6"/>
    <w:rsid w:val="00A9313C"/>
    <w:rsid w:val="00B959A1"/>
    <w:rsid w:val="00BB0752"/>
    <w:rsid w:val="00C83812"/>
    <w:rsid w:val="00C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DC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5902"/>
    <w:rPr>
      <w:color w:val="0000FF" w:themeColor="hyperlink"/>
      <w:u w:val="single"/>
    </w:rPr>
  </w:style>
  <w:style w:type="paragraph" w:styleId="Header">
    <w:name w:val="header"/>
    <w:basedOn w:val="Normal"/>
    <w:link w:val="HeaderChar"/>
    <w:uiPriority w:val="99"/>
    <w:unhideWhenUsed/>
    <w:rsid w:val="00BB0752"/>
    <w:pPr>
      <w:tabs>
        <w:tab w:val="center" w:pos="4320"/>
        <w:tab w:val="right" w:pos="8640"/>
      </w:tabs>
    </w:pPr>
  </w:style>
  <w:style w:type="character" w:customStyle="1" w:styleId="HeaderChar">
    <w:name w:val="Header Char"/>
    <w:basedOn w:val="DefaultParagraphFont"/>
    <w:link w:val="Header"/>
    <w:uiPriority w:val="99"/>
    <w:rsid w:val="00BB0752"/>
  </w:style>
  <w:style w:type="paragraph" w:styleId="Footer">
    <w:name w:val="footer"/>
    <w:basedOn w:val="Normal"/>
    <w:link w:val="FooterChar"/>
    <w:uiPriority w:val="99"/>
    <w:unhideWhenUsed/>
    <w:rsid w:val="00BB0752"/>
    <w:pPr>
      <w:tabs>
        <w:tab w:val="center" w:pos="4320"/>
        <w:tab w:val="right" w:pos="8640"/>
      </w:tabs>
    </w:pPr>
  </w:style>
  <w:style w:type="character" w:customStyle="1" w:styleId="FooterChar">
    <w:name w:val="Footer Char"/>
    <w:basedOn w:val="DefaultParagraphFont"/>
    <w:link w:val="Footer"/>
    <w:uiPriority w:val="99"/>
    <w:rsid w:val="00BB0752"/>
  </w:style>
  <w:style w:type="character" w:styleId="FollowedHyperlink">
    <w:name w:val="FollowedHyperlink"/>
    <w:basedOn w:val="DefaultParagraphFont"/>
    <w:uiPriority w:val="99"/>
    <w:semiHidden/>
    <w:unhideWhenUsed/>
    <w:rsid w:val="009050A8"/>
    <w:rPr>
      <w:color w:val="800080" w:themeColor="followedHyperlink"/>
      <w:u w:val="single"/>
    </w:rPr>
  </w:style>
  <w:style w:type="paragraph" w:styleId="BalloonText">
    <w:name w:val="Balloon Text"/>
    <w:basedOn w:val="Normal"/>
    <w:link w:val="BalloonTextChar"/>
    <w:uiPriority w:val="99"/>
    <w:semiHidden/>
    <w:unhideWhenUsed/>
    <w:rsid w:val="000E6C2D"/>
    <w:rPr>
      <w:rFonts w:ascii="Tahoma" w:hAnsi="Tahoma" w:cs="Tahoma"/>
      <w:sz w:val="16"/>
      <w:szCs w:val="16"/>
    </w:rPr>
  </w:style>
  <w:style w:type="character" w:customStyle="1" w:styleId="BalloonTextChar">
    <w:name w:val="Balloon Text Char"/>
    <w:basedOn w:val="DefaultParagraphFont"/>
    <w:link w:val="BalloonText"/>
    <w:uiPriority w:val="99"/>
    <w:semiHidden/>
    <w:rsid w:val="000E6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5902"/>
    <w:rPr>
      <w:color w:val="0000FF" w:themeColor="hyperlink"/>
      <w:u w:val="single"/>
    </w:rPr>
  </w:style>
  <w:style w:type="paragraph" w:styleId="Header">
    <w:name w:val="header"/>
    <w:basedOn w:val="Normal"/>
    <w:link w:val="HeaderChar"/>
    <w:uiPriority w:val="99"/>
    <w:unhideWhenUsed/>
    <w:rsid w:val="00BB0752"/>
    <w:pPr>
      <w:tabs>
        <w:tab w:val="center" w:pos="4320"/>
        <w:tab w:val="right" w:pos="8640"/>
      </w:tabs>
    </w:pPr>
  </w:style>
  <w:style w:type="character" w:customStyle="1" w:styleId="HeaderChar">
    <w:name w:val="Header Char"/>
    <w:basedOn w:val="DefaultParagraphFont"/>
    <w:link w:val="Header"/>
    <w:uiPriority w:val="99"/>
    <w:rsid w:val="00BB0752"/>
  </w:style>
  <w:style w:type="paragraph" w:styleId="Footer">
    <w:name w:val="footer"/>
    <w:basedOn w:val="Normal"/>
    <w:link w:val="FooterChar"/>
    <w:uiPriority w:val="99"/>
    <w:unhideWhenUsed/>
    <w:rsid w:val="00BB0752"/>
    <w:pPr>
      <w:tabs>
        <w:tab w:val="center" w:pos="4320"/>
        <w:tab w:val="right" w:pos="8640"/>
      </w:tabs>
    </w:pPr>
  </w:style>
  <w:style w:type="character" w:customStyle="1" w:styleId="FooterChar">
    <w:name w:val="Footer Char"/>
    <w:basedOn w:val="DefaultParagraphFont"/>
    <w:link w:val="Footer"/>
    <w:uiPriority w:val="99"/>
    <w:rsid w:val="00BB0752"/>
  </w:style>
  <w:style w:type="character" w:styleId="FollowedHyperlink">
    <w:name w:val="FollowedHyperlink"/>
    <w:basedOn w:val="DefaultParagraphFont"/>
    <w:uiPriority w:val="99"/>
    <w:semiHidden/>
    <w:unhideWhenUsed/>
    <w:rsid w:val="009050A8"/>
    <w:rPr>
      <w:color w:val="800080" w:themeColor="followedHyperlink"/>
      <w:u w:val="single"/>
    </w:rPr>
  </w:style>
  <w:style w:type="paragraph" w:styleId="BalloonText">
    <w:name w:val="Balloon Text"/>
    <w:basedOn w:val="Normal"/>
    <w:link w:val="BalloonTextChar"/>
    <w:uiPriority w:val="99"/>
    <w:semiHidden/>
    <w:unhideWhenUsed/>
    <w:rsid w:val="000E6C2D"/>
    <w:rPr>
      <w:rFonts w:ascii="Tahoma" w:hAnsi="Tahoma" w:cs="Tahoma"/>
      <w:sz w:val="16"/>
      <w:szCs w:val="16"/>
    </w:rPr>
  </w:style>
  <w:style w:type="character" w:customStyle="1" w:styleId="BalloonTextChar">
    <w:name w:val="Balloon Text Char"/>
    <w:basedOn w:val="DefaultParagraphFont"/>
    <w:link w:val="BalloonText"/>
    <w:uiPriority w:val="99"/>
    <w:semiHidden/>
    <w:rsid w:val="000E6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7865">
      <w:bodyDiv w:val="1"/>
      <w:marLeft w:val="0"/>
      <w:marRight w:val="0"/>
      <w:marTop w:val="0"/>
      <w:marBottom w:val="0"/>
      <w:divBdr>
        <w:top w:val="none" w:sz="0" w:space="0" w:color="auto"/>
        <w:left w:val="none" w:sz="0" w:space="0" w:color="auto"/>
        <w:bottom w:val="none" w:sz="0" w:space="0" w:color="auto"/>
        <w:right w:val="none" w:sz="0" w:space="0" w:color="auto"/>
      </w:divBdr>
    </w:div>
    <w:div w:id="286739759">
      <w:bodyDiv w:val="1"/>
      <w:marLeft w:val="0"/>
      <w:marRight w:val="0"/>
      <w:marTop w:val="0"/>
      <w:marBottom w:val="0"/>
      <w:divBdr>
        <w:top w:val="none" w:sz="0" w:space="0" w:color="auto"/>
        <w:left w:val="none" w:sz="0" w:space="0" w:color="auto"/>
        <w:bottom w:val="none" w:sz="0" w:space="0" w:color="auto"/>
        <w:right w:val="none" w:sz="0" w:space="0" w:color="auto"/>
      </w:divBdr>
    </w:div>
    <w:div w:id="1032681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ds/" TargetMode="External"/><Relationship Id="rId13" Type="http://schemas.openxmlformats.org/officeDocument/2006/relationships/hyperlink" Target="http://cssr.berkeley.edu/ucb_childwelfare/ReportDefault.aspx"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hcs.ca.gov/Documents/FY_13-14_01_2015.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hs.ca.gov/CWCDOC/Partial%20Credit%20Report%20-%20September%202013.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www.chhs.ca.gov/CWCDOC/Foster%20Youth%20Education%20Toolkit.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de.ca.gov/fg/aa/lc/"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F8126-95FE-4EE7-9EE8-8B8BD9C93D00}"/>
</file>

<file path=customXml/itemProps2.xml><?xml version="1.0" encoding="utf-8"?>
<ds:datastoreItem xmlns:ds="http://schemas.openxmlformats.org/officeDocument/2006/customXml" ds:itemID="{0B81E239-5E00-47F3-AA58-6897384DA092}"/>
</file>

<file path=customXml/itemProps3.xml><?xml version="1.0" encoding="utf-8"?>
<ds:datastoreItem xmlns:ds="http://schemas.openxmlformats.org/officeDocument/2006/customXml" ds:itemID="{3AB65FA3-E6A6-43AB-94C1-FA0E0E02C20B}"/>
</file>

<file path=customXml/itemProps4.xml><?xml version="1.0" encoding="utf-8"?>
<ds:datastoreItem xmlns:ds="http://schemas.openxmlformats.org/officeDocument/2006/customXml" ds:itemID="{DC3EAFAC-0C6E-4918-B908-692F004A4956}"/>
</file>

<file path=docProps/app.xml><?xml version="1.0" encoding="utf-8"?>
<Properties xmlns="http://schemas.openxmlformats.org/officeDocument/2006/extended-properties" xmlns:vt="http://schemas.openxmlformats.org/officeDocument/2006/docPropsVTypes">
  <Template>271AFA34</Template>
  <TotalTime>3</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Pizzini, Sylvia (CHHS)</cp:lastModifiedBy>
  <cp:revision>3</cp:revision>
  <dcterms:created xsi:type="dcterms:W3CDTF">2015-02-27T23:40:00Z</dcterms:created>
  <dcterms:modified xsi:type="dcterms:W3CDTF">2015-02-27T23:43:00Z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0x0101005B994108A8291441B98783BA4CF0287E</vt:lpwstr>
  </property>
  <property fmtid="{D5CDD505-2E9C-101B-9397-08002B2CF9AE}" pid="3" name="Order">
    <vt:r8>31400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