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A3851" w14:textId="77777777" w:rsidR="008F248D" w:rsidRDefault="00E411FE" w:rsidP="009A5093">
      <w:pPr>
        <w:ind w:left="-810"/>
      </w:pPr>
      <w:r w:rsidRPr="00E411FE">
        <w:rPr>
          <w:noProof/>
        </w:rPr>
        <mc:AlternateContent>
          <mc:Choice Requires="wpg">
            <w:drawing>
              <wp:inline distT="0" distB="0" distL="0" distR="0" wp14:anchorId="0083C3AA" wp14:editId="59F60641">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5"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w14:anchorId="0083C3AA"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6"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14:paraId="4A2DEF68" w14:textId="77777777" w:rsidR="005B3125" w:rsidRDefault="005B3125" w:rsidP="00E2528D">
      <w:pPr>
        <w:spacing w:before="240" w:after="120"/>
        <w:jc w:val="right"/>
        <w:rPr>
          <w:b/>
        </w:rPr>
      </w:pPr>
    </w:p>
    <w:p w14:paraId="441F418F" w14:textId="6586706E" w:rsidR="007E3477" w:rsidRPr="007E3477" w:rsidRDefault="00EF4B03" w:rsidP="00E2528D">
      <w:pPr>
        <w:spacing w:before="240" w:after="120"/>
        <w:jc w:val="right"/>
        <w:rPr>
          <w:b/>
        </w:rPr>
      </w:pPr>
      <w:r>
        <w:rPr>
          <w:b/>
        </w:rPr>
        <w:t>August</w:t>
      </w:r>
      <w:r w:rsidR="009138F7">
        <w:rPr>
          <w:b/>
        </w:rPr>
        <w:t xml:space="preserve"> </w:t>
      </w:r>
      <w:r w:rsidR="007E3477" w:rsidRPr="007E3477">
        <w:rPr>
          <w:b/>
        </w:rPr>
        <w:t>20</w:t>
      </w:r>
      <w:r w:rsidR="004F01F2">
        <w:rPr>
          <w:b/>
        </w:rPr>
        <w:t>20</w:t>
      </w:r>
    </w:p>
    <w:p w14:paraId="2DAE5752" w14:textId="663E92FD" w:rsidR="00AA03BF" w:rsidRDefault="00D90056" w:rsidP="006305DC">
      <w:pPr>
        <w:spacing w:before="100" w:after="240" w:line="276" w:lineRule="auto"/>
      </w:pPr>
      <w:r w:rsidRPr="00920CC3">
        <w:t xml:space="preserve">For this month’s communications, </w:t>
      </w:r>
      <w:r w:rsidR="007E4B4E" w:rsidRPr="00920CC3">
        <w:t>our</w:t>
      </w:r>
      <w:r w:rsidRPr="00920CC3">
        <w:t xml:space="preserve"> focus</w:t>
      </w:r>
      <w:r w:rsidR="007E4B4E" w:rsidRPr="00920CC3">
        <w:t xml:space="preserve"> is</w:t>
      </w:r>
      <w:r w:rsidRPr="00920CC3">
        <w:t xml:space="preserve"> on </w:t>
      </w:r>
      <w:r w:rsidR="007E4B4E" w:rsidRPr="00920CC3">
        <w:t xml:space="preserve">updates on </w:t>
      </w:r>
      <w:r w:rsidRPr="00920CC3">
        <w:t>CalOHII</w:t>
      </w:r>
      <w:r w:rsidR="00022BF3">
        <w:t xml:space="preserve"> and Federal Health and Human Services (HHS) </w:t>
      </w:r>
      <w:r w:rsidRPr="00920CC3">
        <w:t>activities.</w:t>
      </w:r>
      <w:r w:rsidR="007E4B4E" w:rsidRPr="00920CC3">
        <w:t xml:space="preserve">  </w:t>
      </w:r>
      <w:r w:rsidR="00AA03BF" w:rsidRPr="00920CC3">
        <w:t>We are keeping our website</w:t>
      </w:r>
      <w:r w:rsidR="00AA03BF">
        <w:t xml:space="preserve"> up-to-date as state and federal guidance</w:t>
      </w:r>
      <w:r w:rsidR="00022BF3">
        <w:t xml:space="preserve"> on the COVID-19 emergency are </w:t>
      </w:r>
      <w:r w:rsidR="00AA03BF">
        <w:t>made available</w:t>
      </w:r>
      <w:r w:rsidR="00022BF3">
        <w:t xml:space="preserve"> – refer to </w:t>
      </w:r>
      <w:r w:rsidR="00AA03BF">
        <w:t xml:space="preserve">our </w:t>
      </w:r>
      <w:hyperlink r:id="rId7" w:history="1">
        <w:r w:rsidR="00AA03BF" w:rsidRPr="005B3125">
          <w:rPr>
            <w:rStyle w:val="Hyperlink"/>
          </w:rPr>
          <w:t>home page</w:t>
        </w:r>
      </w:hyperlink>
      <w:r w:rsidR="00AA03BF">
        <w:t xml:space="preserve"> for </w:t>
      </w:r>
      <w:r w:rsidR="00022BF3">
        <w:t xml:space="preserve">a summary of </w:t>
      </w:r>
      <w:r w:rsidR="00AA03BF">
        <w:t>the most recent updates.</w:t>
      </w:r>
    </w:p>
    <w:p w14:paraId="1BC6EA06" w14:textId="77777777" w:rsidR="00AD66C3" w:rsidRPr="007E3477" w:rsidRDefault="00AD66C3" w:rsidP="00AD66C3">
      <w:pPr>
        <w:pStyle w:val="IntenseQuote"/>
        <w:rPr>
          <w:b/>
          <w:sz w:val="28"/>
          <w:szCs w:val="28"/>
        </w:rPr>
      </w:pPr>
      <w:r w:rsidRPr="007E3477">
        <w:rPr>
          <w:b/>
          <w:sz w:val="28"/>
          <w:szCs w:val="28"/>
        </w:rPr>
        <w:t>CalOHII Updates</w:t>
      </w:r>
      <w:bookmarkStart w:id="0" w:name="_GoBack"/>
      <w:bookmarkEnd w:id="0"/>
    </w:p>
    <w:p w14:paraId="57A0E263" w14:textId="36630CB9" w:rsidR="00D90056" w:rsidRPr="00B57215" w:rsidRDefault="00D90056" w:rsidP="00DC7DDA">
      <w:pPr>
        <w:pStyle w:val="ListParagraph"/>
        <w:numPr>
          <w:ilvl w:val="0"/>
          <w:numId w:val="2"/>
        </w:numPr>
        <w:spacing w:before="100" w:after="200" w:line="276" w:lineRule="auto"/>
      </w:pPr>
      <w:r w:rsidRPr="007E4B4E">
        <w:rPr>
          <w:b/>
        </w:rPr>
        <w:t>COVID-19 Support</w:t>
      </w:r>
      <w:r>
        <w:t xml:space="preserve"> – CalOHII </w:t>
      </w:r>
      <w:r w:rsidR="008B0A60">
        <w:t xml:space="preserve">continues to support various state initiatives regarding the privacy </w:t>
      </w:r>
      <w:r w:rsidR="008B0A60" w:rsidRPr="00B57215">
        <w:t>of protected health information.</w:t>
      </w:r>
    </w:p>
    <w:p w14:paraId="7C37F022" w14:textId="2C0320BF" w:rsidR="009016D8" w:rsidRPr="00B34EB5" w:rsidRDefault="009016D8" w:rsidP="00985275">
      <w:pPr>
        <w:pStyle w:val="ListParagraph"/>
        <w:numPr>
          <w:ilvl w:val="0"/>
          <w:numId w:val="2"/>
        </w:numPr>
        <w:spacing w:before="100" w:after="200" w:line="276" w:lineRule="auto"/>
        <w:rPr>
          <w:color w:val="1F497D"/>
        </w:rPr>
      </w:pPr>
      <w:r w:rsidRPr="00EE1722">
        <w:rPr>
          <w:b/>
        </w:rPr>
        <w:t>2020 State Health Information Guidance (SHIG - version 2</w:t>
      </w:r>
      <w:r w:rsidR="009E40F6" w:rsidRPr="00EE1722">
        <w:rPr>
          <w:b/>
        </w:rPr>
        <w:t xml:space="preserve">) </w:t>
      </w:r>
      <w:r w:rsidRPr="00EE1722">
        <w:rPr>
          <w:b/>
        </w:rPr>
        <w:t xml:space="preserve">Update </w:t>
      </w:r>
      <w:r w:rsidRPr="00EE1722">
        <w:t xml:space="preserve">– </w:t>
      </w:r>
      <w:r w:rsidR="00EE1722" w:rsidRPr="00EE1722">
        <w:t xml:space="preserve">CalOHII </w:t>
      </w:r>
      <w:r w:rsidR="00EF4B03">
        <w:t>is conducting</w:t>
      </w:r>
      <w:r w:rsidR="007D59F2">
        <w:t xml:space="preserve"> </w:t>
      </w:r>
      <w:r w:rsidR="00442491">
        <w:t xml:space="preserve">a series of eight </w:t>
      </w:r>
      <w:r w:rsidR="007D59F2">
        <w:t>working sessions</w:t>
      </w:r>
      <w:r w:rsidR="00EF4B03">
        <w:t xml:space="preserve"> with </w:t>
      </w:r>
      <w:r w:rsidR="00442491">
        <w:t xml:space="preserve">various </w:t>
      </w:r>
      <w:r w:rsidR="00EF4B03" w:rsidRPr="001A3804">
        <w:t>stakeholder</w:t>
      </w:r>
      <w:r w:rsidR="00442491" w:rsidRPr="001A3804">
        <w:t>s</w:t>
      </w:r>
      <w:r w:rsidR="007D59F2" w:rsidRPr="001A3804">
        <w:t xml:space="preserve"> to gather information </w:t>
      </w:r>
      <w:r w:rsidR="006373AC" w:rsidRPr="001A3804">
        <w:t>about</w:t>
      </w:r>
      <w:r w:rsidR="00442491" w:rsidRPr="001A3804">
        <w:t xml:space="preserve"> the</w:t>
      </w:r>
      <w:r w:rsidR="006373AC" w:rsidRPr="001A3804">
        <w:t xml:space="preserve"> organization</w:t>
      </w:r>
      <w:r w:rsidR="00442491" w:rsidRPr="001A3804">
        <w:t>s</w:t>
      </w:r>
      <w:r w:rsidR="006373AC" w:rsidRPr="001A3804">
        <w:t>’</w:t>
      </w:r>
      <w:r w:rsidR="007D59F2" w:rsidRPr="001A3804">
        <w:t xml:space="preserve"> barriers to </w:t>
      </w:r>
      <w:r w:rsidR="00C32CF8" w:rsidRPr="001A3804">
        <w:t xml:space="preserve">health </w:t>
      </w:r>
      <w:r w:rsidR="007D59F2" w:rsidRPr="001A3804">
        <w:t>information sharing</w:t>
      </w:r>
      <w:r w:rsidR="00442491" w:rsidRPr="001A3804">
        <w:t xml:space="preserve"> related to food insecurity programs.</w:t>
      </w:r>
      <w:r w:rsidR="001A3804" w:rsidRPr="001A3804">
        <w:t xml:space="preserve">  </w:t>
      </w:r>
      <w:r w:rsidR="001A3804" w:rsidRPr="001A3804">
        <w:rPr>
          <w:bCs/>
        </w:rPr>
        <w:t xml:space="preserve">The final stakeholder meeting </w:t>
      </w:r>
      <w:r w:rsidR="001A3804">
        <w:rPr>
          <w:bCs/>
        </w:rPr>
        <w:t xml:space="preserve">is scheduled for </w:t>
      </w:r>
      <w:r w:rsidR="001A3804" w:rsidRPr="001A3804">
        <w:rPr>
          <w:bCs/>
        </w:rPr>
        <w:t>August 20.</w:t>
      </w:r>
      <w:r w:rsidR="001A3804">
        <w:rPr>
          <w:b/>
          <w:bCs/>
        </w:rPr>
        <w:t xml:space="preserve"> </w:t>
      </w:r>
      <w:r w:rsidR="00442491">
        <w:t xml:space="preserve"> </w:t>
      </w:r>
      <w:r w:rsidR="001A3804">
        <w:t>The</w:t>
      </w:r>
      <w:r w:rsidR="00442491">
        <w:t xml:space="preserve"> information</w:t>
      </w:r>
      <w:r w:rsidR="001A3804">
        <w:t xml:space="preserve"> collected</w:t>
      </w:r>
      <w:r w:rsidR="00442491">
        <w:t xml:space="preserve"> will </w:t>
      </w:r>
      <w:r w:rsidR="006373AC">
        <w:t xml:space="preserve">support the </w:t>
      </w:r>
      <w:r w:rsidR="00442491">
        <w:t xml:space="preserve">team’s </w:t>
      </w:r>
      <w:r w:rsidR="006373AC">
        <w:t>development of use cases</w:t>
      </w:r>
      <w:r w:rsidR="007D59F2">
        <w:t>.</w:t>
      </w:r>
      <w:r w:rsidR="006373AC">
        <w:t xml:space="preserve">  </w:t>
      </w:r>
    </w:p>
    <w:p w14:paraId="04553CAC" w14:textId="62C925E3" w:rsidR="00B04949" w:rsidRDefault="00B04949" w:rsidP="00B04949">
      <w:pPr>
        <w:pStyle w:val="ListParagraph"/>
        <w:numPr>
          <w:ilvl w:val="0"/>
          <w:numId w:val="2"/>
        </w:numPr>
        <w:spacing w:before="100" w:after="200" w:line="276" w:lineRule="auto"/>
        <w:rPr>
          <w:color w:val="1F497D"/>
        </w:rPr>
      </w:pPr>
      <w:r>
        <w:rPr>
          <w:b/>
          <w:bCs/>
        </w:rPr>
        <w:t>Data De-Identification Guidelines (DDG) Workgroup</w:t>
      </w:r>
      <w:r>
        <w:t xml:space="preserve"> – CalOHII continues to support workgroup activities – this includes assisting with the development of an Agency-wide implementation procedure for departments on how to use the Data De-Identification Guide.</w:t>
      </w:r>
    </w:p>
    <w:p w14:paraId="06C0BAAB" w14:textId="67FCE64F" w:rsidR="00173F20" w:rsidRPr="00F96DCC" w:rsidRDefault="00173F20" w:rsidP="00173F20">
      <w:pPr>
        <w:pStyle w:val="ListParagraph"/>
        <w:numPr>
          <w:ilvl w:val="0"/>
          <w:numId w:val="2"/>
        </w:numPr>
        <w:spacing w:before="100" w:after="200" w:line="276" w:lineRule="auto"/>
      </w:pPr>
      <w:r w:rsidRPr="00F96DCC">
        <w:rPr>
          <w:b/>
        </w:rPr>
        <w:t>Risk Analysis/Risk Assessment Focused Review</w:t>
      </w:r>
      <w:r w:rsidRPr="00F96DCC">
        <w:t xml:space="preserve"> </w:t>
      </w:r>
      <w:r w:rsidR="00FC74FC" w:rsidRPr="00F96DCC">
        <w:t>–</w:t>
      </w:r>
      <w:r w:rsidRPr="00F96DCC">
        <w:t xml:space="preserve"> CalOHII</w:t>
      </w:r>
      <w:r w:rsidR="00FC74FC" w:rsidRPr="00F96DCC">
        <w:t xml:space="preserve"> </w:t>
      </w:r>
      <w:r w:rsidR="00EF4B03">
        <w:t xml:space="preserve">continues to finalize the </w:t>
      </w:r>
      <w:r w:rsidR="002F22D3" w:rsidRPr="00F96DCC">
        <w:t>results</w:t>
      </w:r>
      <w:r w:rsidR="00C32CF8" w:rsidRPr="00F96DCC">
        <w:t xml:space="preserve"> of the focused review </w:t>
      </w:r>
      <w:r w:rsidR="00EF4B03">
        <w:t xml:space="preserve">and anticipates communicating these results to each </w:t>
      </w:r>
      <w:r w:rsidR="00C32CF8" w:rsidRPr="00F96DCC">
        <w:t xml:space="preserve">department in </w:t>
      </w:r>
      <w:r w:rsidR="00EF4B03">
        <w:t>September</w:t>
      </w:r>
      <w:r w:rsidR="002F22D3" w:rsidRPr="00F96DCC">
        <w:t>.</w:t>
      </w:r>
    </w:p>
    <w:p w14:paraId="1F6C2F59" w14:textId="1BA33891" w:rsidR="008B55C2" w:rsidRPr="00F96DCC" w:rsidRDefault="00BF3768" w:rsidP="008B55C2">
      <w:pPr>
        <w:pStyle w:val="ListParagraph"/>
        <w:numPr>
          <w:ilvl w:val="0"/>
          <w:numId w:val="2"/>
        </w:numPr>
        <w:spacing w:before="100" w:after="200" w:line="276" w:lineRule="auto"/>
      </w:pPr>
      <w:r w:rsidRPr="00F96DCC">
        <w:rPr>
          <w:b/>
        </w:rPr>
        <w:t>HIPAA Compliance</w:t>
      </w:r>
      <w:r w:rsidRPr="00F96DCC">
        <w:t xml:space="preserve"> - </w:t>
      </w:r>
      <w:r w:rsidR="00827536" w:rsidRPr="00F96DCC">
        <w:t xml:space="preserve">CalOHII </w:t>
      </w:r>
      <w:r w:rsidR="006305DC">
        <w:t xml:space="preserve">continues to work </w:t>
      </w:r>
      <w:r w:rsidR="002F22D3" w:rsidRPr="00F96DCC">
        <w:t xml:space="preserve">with </w:t>
      </w:r>
      <w:r w:rsidR="00442491">
        <w:t>four (4)</w:t>
      </w:r>
      <w:r w:rsidR="002F22D3" w:rsidRPr="00F96DCC">
        <w:t xml:space="preserve"> departments on </w:t>
      </w:r>
      <w:r w:rsidR="00442491">
        <w:t xml:space="preserve">completing </w:t>
      </w:r>
      <w:r w:rsidR="002F22D3" w:rsidRPr="00F96DCC">
        <w:t xml:space="preserve">their </w:t>
      </w:r>
      <w:r w:rsidR="008B0A60" w:rsidRPr="00F96DCC">
        <w:t>Corrective Action Plan (CAP)</w:t>
      </w:r>
      <w:r w:rsidR="002F22D3" w:rsidRPr="00F96DCC">
        <w:t xml:space="preserve"> </w:t>
      </w:r>
      <w:r w:rsidR="00461DFC">
        <w:t xml:space="preserve">documentation and action </w:t>
      </w:r>
      <w:r w:rsidR="00442491">
        <w:t>items</w:t>
      </w:r>
      <w:r w:rsidR="00827536" w:rsidRPr="00F96DCC">
        <w:t>.</w:t>
      </w:r>
      <w:r w:rsidR="008B55C2" w:rsidRPr="00F96DCC">
        <w:t xml:space="preserve"> </w:t>
      </w:r>
      <w:r w:rsidR="00827536" w:rsidRPr="00F96DCC">
        <w:t xml:space="preserve"> </w:t>
      </w:r>
    </w:p>
    <w:p w14:paraId="12574EF5" w14:textId="1EF4C10F" w:rsidR="00C05706" w:rsidRPr="005E7E5D" w:rsidRDefault="000A6F6C" w:rsidP="004F01F2">
      <w:pPr>
        <w:pStyle w:val="ListParagraph"/>
        <w:numPr>
          <w:ilvl w:val="0"/>
          <w:numId w:val="2"/>
        </w:numPr>
        <w:spacing w:before="100" w:after="200" w:line="276" w:lineRule="auto"/>
      </w:pPr>
      <w:r w:rsidRPr="00F96DCC">
        <w:rPr>
          <w:b/>
        </w:rPr>
        <w:t>State Legislation Review</w:t>
      </w:r>
      <w:r w:rsidRPr="00F96DCC">
        <w:t xml:space="preserve"> –</w:t>
      </w:r>
      <w:r w:rsidR="00A95C1A" w:rsidRPr="00F96DCC">
        <w:t xml:space="preserve"> </w:t>
      </w:r>
      <w:r w:rsidR="00BF3768" w:rsidRPr="00F96DCC">
        <w:t xml:space="preserve">CalOHII </w:t>
      </w:r>
      <w:r w:rsidR="00EF4B03">
        <w:t>is actively tracking six (6</w:t>
      </w:r>
      <w:r w:rsidR="00B46545" w:rsidRPr="00F96DCC">
        <w:t>) bills</w:t>
      </w:r>
      <w:r w:rsidR="00EF4B03">
        <w:t xml:space="preserve"> and watching an additional 33</w:t>
      </w:r>
      <w:r w:rsidR="00C32CF8" w:rsidRPr="00F96DCC">
        <w:t xml:space="preserve"> bills that could impact the Statewide Health Information Policy Manual (SHIPM).  </w:t>
      </w:r>
      <w:r w:rsidR="00EF4B03">
        <w:t xml:space="preserve">At the close of the session, CalOHII will provide a summary of potential SHIPM impacts related to signed bills. </w:t>
      </w:r>
      <w:r w:rsidR="00B46545" w:rsidRPr="00F96DCC">
        <w:t>During this session</w:t>
      </w:r>
      <w:r w:rsidR="00B46545">
        <w:t xml:space="preserve">, </w:t>
      </w:r>
      <w:r w:rsidR="00EF4B03">
        <w:t xml:space="preserve">CalOHII </w:t>
      </w:r>
      <w:r w:rsidR="00442491">
        <w:t xml:space="preserve">has </w:t>
      </w:r>
      <w:r w:rsidR="00EF4B03">
        <w:t>reviewed nearly 360</w:t>
      </w:r>
      <w:r w:rsidR="005E7E5D">
        <w:t xml:space="preserve"> bills for potential </w:t>
      </w:r>
      <w:r w:rsidR="005E7E5D" w:rsidRPr="005E7E5D">
        <w:t>health information or SHIPM impacts.</w:t>
      </w:r>
    </w:p>
    <w:p w14:paraId="29165E94" w14:textId="072A8517" w:rsidR="009016D8" w:rsidRPr="005E7E5D" w:rsidRDefault="009016D8" w:rsidP="004F01F2">
      <w:pPr>
        <w:pStyle w:val="ListParagraph"/>
        <w:numPr>
          <w:ilvl w:val="0"/>
          <w:numId w:val="2"/>
        </w:numPr>
        <w:spacing w:before="100" w:after="200" w:line="276" w:lineRule="auto"/>
      </w:pPr>
      <w:r w:rsidRPr="005E7E5D">
        <w:rPr>
          <w:b/>
        </w:rPr>
        <w:t xml:space="preserve">Incident/Breach </w:t>
      </w:r>
      <w:r w:rsidRPr="005E7E5D">
        <w:t>– CalOHII continues to review and follow-up with organizations regarding incidents reported to CalCSIRS.</w:t>
      </w:r>
    </w:p>
    <w:p w14:paraId="05408A51" w14:textId="23929BD6" w:rsidR="009016D8" w:rsidRPr="005E7E5D" w:rsidRDefault="009016D8" w:rsidP="004F01F2">
      <w:pPr>
        <w:pStyle w:val="ListParagraph"/>
        <w:numPr>
          <w:ilvl w:val="0"/>
          <w:numId w:val="2"/>
        </w:numPr>
        <w:spacing w:before="100" w:after="200" w:line="276" w:lineRule="auto"/>
      </w:pPr>
      <w:r w:rsidRPr="005E7E5D">
        <w:rPr>
          <w:b/>
        </w:rPr>
        <w:t xml:space="preserve">Technical Assistance </w:t>
      </w:r>
      <w:r w:rsidRPr="005E7E5D">
        <w:t>– CalOHII continues to provide information to organizations and individuals with questions concerning the privacy protections of health information in California.</w:t>
      </w:r>
    </w:p>
    <w:p w14:paraId="0D4AADB2" w14:textId="77777777" w:rsidR="00EC0ACF" w:rsidRDefault="00EC0ACF">
      <w:pPr>
        <w:rPr>
          <w:b/>
          <w:i/>
          <w:iCs/>
          <w:color w:val="5B9BD5" w:themeColor="accent1"/>
          <w:sz w:val="28"/>
          <w:szCs w:val="28"/>
        </w:rPr>
      </w:pPr>
      <w:r>
        <w:rPr>
          <w:b/>
          <w:sz w:val="28"/>
          <w:szCs w:val="28"/>
        </w:rPr>
        <w:br w:type="page"/>
      </w:r>
    </w:p>
    <w:p w14:paraId="182BB8F6" w14:textId="0B217783" w:rsidR="007E3477" w:rsidRPr="007E3477" w:rsidRDefault="007E3477" w:rsidP="00022BF3">
      <w:pPr>
        <w:pStyle w:val="IntenseQuote"/>
        <w:spacing w:before="480"/>
        <w:rPr>
          <w:b/>
          <w:sz w:val="28"/>
          <w:szCs w:val="28"/>
        </w:rPr>
      </w:pPr>
      <w:r w:rsidRPr="007E3477">
        <w:rPr>
          <w:b/>
          <w:sz w:val="28"/>
          <w:szCs w:val="28"/>
        </w:rPr>
        <w:lastRenderedPageBreak/>
        <w:t>HHS News</w:t>
      </w:r>
    </w:p>
    <w:p w14:paraId="723E8EFD" w14:textId="018D68C5" w:rsidR="00EF4B03" w:rsidRPr="00EF4B03" w:rsidRDefault="00EF4B03" w:rsidP="00B23440">
      <w:pPr>
        <w:pStyle w:val="ListParagraph"/>
        <w:numPr>
          <w:ilvl w:val="0"/>
          <w:numId w:val="2"/>
        </w:numPr>
        <w:spacing w:before="100" w:after="200" w:line="276" w:lineRule="auto"/>
      </w:pPr>
      <w:r w:rsidRPr="00CE3111">
        <w:rPr>
          <w:b/>
        </w:rPr>
        <w:t xml:space="preserve">Office for Civil Rights (OCR) to Settle Unencrypted Stolen Laptop Breach – </w:t>
      </w:r>
      <w:r w:rsidRPr="00EF4B03">
        <w:t xml:space="preserve">OCR </w:t>
      </w:r>
      <w:r>
        <w:t xml:space="preserve">settled with Lifespan </w:t>
      </w:r>
      <w:r w:rsidR="00442491">
        <w:t xml:space="preserve">ACE </w:t>
      </w:r>
      <w:r>
        <w:t xml:space="preserve">for $1,040,000 for potential HIPAA violations related to </w:t>
      </w:r>
      <w:r w:rsidR="00CE3111">
        <w:t xml:space="preserve">a breach report associated with </w:t>
      </w:r>
      <w:r>
        <w:t xml:space="preserve">the </w:t>
      </w:r>
      <w:r w:rsidR="00CE3111">
        <w:t>theft of a laptop.  OCR found “</w:t>
      </w:r>
      <w:r w:rsidR="00CE3111" w:rsidRPr="00CE3111">
        <w:t>there was systemic noncompliance with the HIPAA Rules including a failure to encrypt ePHI on laptops after Lifespan ACE determined it was reasonable and appropriate to do so.</w:t>
      </w:r>
      <w:r w:rsidR="00CE3111">
        <w:t xml:space="preserve">”  </w:t>
      </w:r>
      <w:r>
        <w:t xml:space="preserve"> </w:t>
      </w:r>
      <w:r w:rsidR="00CE3111">
        <w:t xml:space="preserve">More information about </w:t>
      </w:r>
      <w:hyperlink r:id="rId8" w:history="1">
        <w:r w:rsidR="00CE3111" w:rsidRPr="00CE3111">
          <w:rPr>
            <w:rStyle w:val="Hyperlink"/>
          </w:rPr>
          <w:t>the settlement</w:t>
        </w:r>
      </w:hyperlink>
      <w:r w:rsidR="00CE3111">
        <w:t xml:space="preserve"> is on the OCR website.</w:t>
      </w:r>
      <w:r w:rsidR="00442491">
        <w:t xml:space="preserve">  Refer to </w:t>
      </w:r>
      <w:hyperlink r:id="rId9" w:history="1">
        <w:r w:rsidR="00442491" w:rsidRPr="00442491">
          <w:rPr>
            <w:rStyle w:val="Hyperlink"/>
          </w:rPr>
          <w:t>SHIPM</w:t>
        </w:r>
      </w:hyperlink>
      <w:r w:rsidR="00442491">
        <w:t xml:space="preserve"> policies </w:t>
      </w:r>
      <w:r w:rsidR="00442491" w:rsidRPr="00022BF3">
        <w:rPr>
          <w:i/>
        </w:rPr>
        <w:t>3.2.4 – Workstation Use and Security</w:t>
      </w:r>
      <w:r w:rsidR="00442491">
        <w:t xml:space="preserve"> and </w:t>
      </w:r>
      <w:r w:rsidR="00442491" w:rsidRPr="00022BF3">
        <w:rPr>
          <w:i/>
        </w:rPr>
        <w:t>3.3.2 – Encryption</w:t>
      </w:r>
      <w:r w:rsidR="00442491">
        <w:t xml:space="preserve"> for more guidance on this topic.</w:t>
      </w:r>
    </w:p>
    <w:p w14:paraId="1842FCA0" w14:textId="08094BB8" w:rsidR="00CE3111" w:rsidRPr="00022BF3" w:rsidRDefault="00022BF3" w:rsidP="0060008D">
      <w:pPr>
        <w:pStyle w:val="ListParagraph"/>
        <w:numPr>
          <w:ilvl w:val="0"/>
          <w:numId w:val="2"/>
        </w:numPr>
        <w:spacing w:before="100" w:after="200" w:line="276" w:lineRule="auto"/>
      </w:pPr>
      <w:r w:rsidRPr="00022BF3">
        <w:rPr>
          <w:b/>
        </w:rPr>
        <w:t>OCR to Settle HIPAA Security Rule Noncompliance</w:t>
      </w:r>
      <w:r w:rsidRPr="00022BF3">
        <w:t xml:space="preserve"> - </w:t>
      </w:r>
      <w:r>
        <w:t>OCR has settled with a small FQHC who failed</w:t>
      </w:r>
      <w:r w:rsidRPr="00022BF3">
        <w:t xml:space="preserve"> to implement multiple HIPAA security rule requirements.  During OCR’s investigation of a breach </w:t>
      </w:r>
      <w:r w:rsidR="00461DFC" w:rsidRPr="00022BF3">
        <w:t>affecting</w:t>
      </w:r>
      <w:r w:rsidRPr="00022BF3">
        <w:t xml:space="preserve"> 1,236 patients, they found “longstanding, systemic noncompliance with the HIPAA Security Rule.  Specifically, Metro failed to conduct any risk analyses, failed to implement any HIPAA Security Rule policies and procedures, and neglected to provide workforce members with security awareness training until 2016.”</w:t>
      </w:r>
      <w:r>
        <w:t xml:space="preserve"> More information about </w:t>
      </w:r>
      <w:hyperlink r:id="rId10" w:history="1">
        <w:r w:rsidRPr="00022BF3">
          <w:rPr>
            <w:rStyle w:val="Hyperlink"/>
          </w:rPr>
          <w:t>the settlement</w:t>
        </w:r>
      </w:hyperlink>
      <w:r>
        <w:t xml:space="preserve"> is on the OCR website.  Refer to </w:t>
      </w:r>
      <w:hyperlink r:id="rId11" w:history="1">
        <w:r w:rsidRPr="00442491">
          <w:rPr>
            <w:rStyle w:val="Hyperlink"/>
          </w:rPr>
          <w:t>SHIPM</w:t>
        </w:r>
      </w:hyperlink>
      <w:r>
        <w:t xml:space="preserve"> </w:t>
      </w:r>
      <w:r w:rsidRPr="00022BF3">
        <w:rPr>
          <w:i/>
        </w:rPr>
        <w:t>Chapter 3 – Security</w:t>
      </w:r>
      <w:r>
        <w:t xml:space="preserve"> for more guidance on this topic.</w:t>
      </w:r>
    </w:p>
    <w:p w14:paraId="75A1BE31" w14:textId="0573E3B5" w:rsidR="00EF4B03" w:rsidRDefault="00CE3111" w:rsidP="0060008D">
      <w:pPr>
        <w:pStyle w:val="ListParagraph"/>
        <w:numPr>
          <w:ilvl w:val="0"/>
          <w:numId w:val="2"/>
        </w:numPr>
        <w:spacing w:before="100" w:after="200" w:line="276" w:lineRule="auto"/>
      </w:pPr>
      <w:r w:rsidRPr="00022BF3">
        <w:rPr>
          <w:b/>
        </w:rPr>
        <w:t>Revised 42 CFR Part 2</w:t>
      </w:r>
      <w:r w:rsidR="00442491" w:rsidRPr="00022BF3">
        <w:t xml:space="preserve"> - </w:t>
      </w:r>
      <w:r w:rsidRPr="00022BF3">
        <w:t>Substance Abuse and Mental Health Services Administration (SAMHSA)</w:t>
      </w:r>
      <w:r>
        <w:t xml:space="preserve"> announced</w:t>
      </w:r>
      <w:r w:rsidRPr="00CE3111">
        <w:t xml:space="preserve"> the adoption of the revised Confidentiality of Substance Use Disorder Patient Records regulation, 42 CFR Part 2.</w:t>
      </w:r>
      <w:r>
        <w:t xml:space="preserve"> </w:t>
      </w:r>
      <w:r w:rsidR="00371B7F">
        <w:t xml:space="preserve"> </w:t>
      </w:r>
      <w:r>
        <w:t>CalOHII is reviewing the</w:t>
      </w:r>
      <w:r w:rsidR="00461DFC">
        <w:t>se</w:t>
      </w:r>
      <w:r>
        <w:t xml:space="preserve"> revisions for possible impacts to SHIPM. </w:t>
      </w:r>
      <w:r w:rsidR="00371B7F">
        <w:t xml:space="preserve"> </w:t>
      </w:r>
      <w:r>
        <w:t xml:space="preserve">More information about </w:t>
      </w:r>
      <w:hyperlink r:id="rId12" w:history="1">
        <w:r w:rsidRPr="00CE3111">
          <w:rPr>
            <w:rStyle w:val="Hyperlink"/>
          </w:rPr>
          <w:t>the revisions</w:t>
        </w:r>
      </w:hyperlink>
      <w:r>
        <w:t xml:space="preserve"> are on the SAMSHA website</w:t>
      </w:r>
      <w:r w:rsidR="00442491">
        <w:t xml:space="preserve"> – CalOHII recommends all departments review the </w:t>
      </w:r>
      <w:hyperlink r:id="rId13" w:history="1">
        <w:r w:rsidR="00442491" w:rsidRPr="00442491">
          <w:rPr>
            <w:rStyle w:val="Hyperlink"/>
          </w:rPr>
          <w:t>SAMHSA Fact Sheet</w:t>
        </w:r>
      </w:hyperlink>
      <w:r>
        <w:t>.</w:t>
      </w:r>
    </w:p>
    <w:p w14:paraId="155D1CAD" w14:textId="5AF840E9" w:rsidR="00183536" w:rsidRPr="00EF4B03" w:rsidRDefault="00183536" w:rsidP="0060008D">
      <w:pPr>
        <w:pStyle w:val="ListParagraph"/>
        <w:numPr>
          <w:ilvl w:val="0"/>
          <w:numId w:val="2"/>
        </w:numPr>
        <w:spacing w:before="100" w:after="200" w:line="276" w:lineRule="auto"/>
      </w:pPr>
      <w:r>
        <w:rPr>
          <w:b/>
        </w:rPr>
        <w:t xml:space="preserve">Federal Spring Agenda Released </w:t>
      </w:r>
      <w:r>
        <w:t>– Office of Management and Budget (OMB) released the latest agenda regarding potential regulatory updates</w:t>
      </w:r>
      <w:r w:rsidR="00442491">
        <w:t xml:space="preserve"> – </w:t>
      </w:r>
      <w:r w:rsidR="00461DFC">
        <w:t>typically,</w:t>
      </w:r>
      <w:r w:rsidR="00442491">
        <w:t xml:space="preserve"> these result in Notice of Proposed Rule Making (NPRM)</w:t>
      </w:r>
      <w:r>
        <w:t xml:space="preserve">.  CalOHII has reviewed the agenda and identified eight (8) items with potential SHIPM impacts for tracking.  More information about the </w:t>
      </w:r>
      <w:hyperlink r:id="rId14" w:history="1">
        <w:r w:rsidRPr="00183536">
          <w:rPr>
            <w:rStyle w:val="Hyperlink"/>
          </w:rPr>
          <w:t>Spring Agenda</w:t>
        </w:r>
      </w:hyperlink>
      <w:r>
        <w:t xml:space="preserve"> is on the OMB website.</w:t>
      </w:r>
    </w:p>
    <w:p w14:paraId="1C6498B5" w14:textId="77777777" w:rsidR="001D703E" w:rsidRPr="007E3477" w:rsidRDefault="001D703E" w:rsidP="001D703E">
      <w:pPr>
        <w:pStyle w:val="IntenseQuote"/>
        <w:rPr>
          <w:b/>
          <w:sz w:val="28"/>
          <w:szCs w:val="28"/>
        </w:rPr>
      </w:pPr>
      <w:r>
        <w:rPr>
          <w:b/>
          <w:sz w:val="28"/>
          <w:szCs w:val="28"/>
        </w:rPr>
        <w:t>Contact Us…</w:t>
      </w:r>
    </w:p>
    <w:p w14:paraId="5A430E27" w14:textId="77777777" w:rsidR="007E3477" w:rsidRDefault="001D703E" w:rsidP="007E3477">
      <w:pPr>
        <w:pStyle w:val="ListParagraph"/>
        <w:rPr>
          <w:b/>
        </w:rPr>
      </w:pPr>
      <w:r>
        <w:rPr>
          <w:b/>
        </w:rPr>
        <w:t xml:space="preserve">If you have any questions or comments about the content of this newsletter, contact us at </w:t>
      </w:r>
      <w:hyperlink r:id="rId15" w:history="1">
        <w:r w:rsidRPr="00160723">
          <w:rPr>
            <w:rStyle w:val="Hyperlink"/>
            <w:b/>
          </w:rPr>
          <w:t>OHIComments@ohi.ca.gov</w:t>
        </w:r>
      </w:hyperlink>
      <w:r w:rsidR="009C13FB">
        <w:rPr>
          <w:b/>
        </w:rPr>
        <w:t>.</w:t>
      </w:r>
    </w:p>
    <w:p w14:paraId="5982C30F" w14:textId="77777777" w:rsidR="00C44FB1" w:rsidRDefault="00C44FB1" w:rsidP="007E3477">
      <w:pPr>
        <w:pStyle w:val="ListParagraph"/>
        <w:rPr>
          <w:b/>
        </w:rPr>
      </w:pPr>
    </w:p>
    <w:p w14:paraId="08820EF0" w14:textId="4287BEBE" w:rsidR="00C44FB1" w:rsidRPr="00225BF6" w:rsidRDefault="00225BF6" w:rsidP="007E3477">
      <w:pPr>
        <w:pStyle w:val="ListParagraph"/>
        <w:rPr>
          <w:i/>
        </w:rPr>
      </w:pPr>
      <w:r>
        <w:rPr>
          <w:i/>
        </w:rPr>
        <w:t xml:space="preserve">Past </w:t>
      </w:r>
      <w:r w:rsidR="00C44FB1" w:rsidRPr="00225BF6">
        <w:rPr>
          <w:i/>
        </w:rPr>
        <w:t xml:space="preserve">CalOHII Communications </w:t>
      </w:r>
      <w:r w:rsidR="00DC7DDA">
        <w:rPr>
          <w:i/>
        </w:rPr>
        <w:t>are</w:t>
      </w:r>
      <w:r w:rsidR="00C44FB1" w:rsidRPr="00225BF6">
        <w:rPr>
          <w:i/>
        </w:rPr>
        <w:t xml:space="preserve"> on the </w:t>
      </w:r>
      <w:hyperlink r:id="rId16" w:history="1">
        <w:r w:rsidR="00C44FB1" w:rsidRPr="00225BF6">
          <w:rPr>
            <w:rStyle w:val="Hyperlink"/>
            <w:i/>
          </w:rPr>
          <w:t>CalOHII Communications - Archive</w:t>
        </w:r>
      </w:hyperlink>
      <w:r w:rsidR="00C44FB1" w:rsidRPr="00225BF6">
        <w:rPr>
          <w:i/>
        </w:rPr>
        <w:t xml:space="preserve"> page.</w:t>
      </w:r>
    </w:p>
    <w:sectPr w:rsidR="00C44FB1" w:rsidRPr="00225BF6"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0245F"/>
    <w:multiLevelType w:val="hybridMultilevel"/>
    <w:tmpl w:val="3010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E2171"/>
    <w:multiLevelType w:val="multilevel"/>
    <w:tmpl w:val="632C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383928"/>
    <w:multiLevelType w:val="hybridMultilevel"/>
    <w:tmpl w:val="FFC2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C771D0"/>
    <w:multiLevelType w:val="multilevel"/>
    <w:tmpl w:val="2450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F1DB0"/>
    <w:multiLevelType w:val="hybridMultilevel"/>
    <w:tmpl w:val="A43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8F546B"/>
    <w:multiLevelType w:val="multilevel"/>
    <w:tmpl w:val="8C76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E42033"/>
    <w:multiLevelType w:val="hybridMultilevel"/>
    <w:tmpl w:val="FE6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143CBC"/>
    <w:multiLevelType w:val="hybridMultilevel"/>
    <w:tmpl w:val="8E2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A763EB"/>
    <w:multiLevelType w:val="hybridMultilevel"/>
    <w:tmpl w:val="E05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32065D"/>
    <w:multiLevelType w:val="hybridMultilevel"/>
    <w:tmpl w:val="91A4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935F97"/>
    <w:multiLevelType w:val="hybridMultilevel"/>
    <w:tmpl w:val="795E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2807CF"/>
    <w:multiLevelType w:val="hybridMultilevel"/>
    <w:tmpl w:val="F6D4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B1D31"/>
    <w:multiLevelType w:val="hybridMultilevel"/>
    <w:tmpl w:val="5B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6E1B56"/>
    <w:multiLevelType w:val="hybridMultilevel"/>
    <w:tmpl w:val="ACFE3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num>
  <w:num w:numId="8">
    <w:abstractNumId w:val="4"/>
  </w:num>
  <w:num w:numId="9">
    <w:abstractNumId w:val="13"/>
  </w:num>
  <w:num w:numId="10">
    <w:abstractNumId w:val="0"/>
  </w:num>
  <w:num w:numId="11">
    <w:abstractNumId w:val="20"/>
  </w:num>
  <w:num w:numId="12">
    <w:abstractNumId w:val="15"/>
  </w:num>
  <w:num w:numId="13">
    <w:abstractNumId w:val="16"/>
  </w:num>
  <w:num w:numId="14">
    <w:abstractNumId w:val="8"/>
  </w:num>
  <w:num w:numId="15">
    <w:abstractNumId w:val="11"/>
  </w:num>
  <w:num w:numId="16">
    <w:abstractNumId w:val="2"/>
  </w:num>
  <w:num w:numId="17">
    <w:abstractNumId w:val="6"/>
  </w:num>
  <w:num w:numId="18">
    <w:abstractNumId w:val="9"/>
  </w:num>
  <w:num w:numId="19">
    <w:abstractNumId w:val="17"/>
  </w:num>
  <w:num w:numId="20">
    <w:abstractNumId w:val="5"/>
  </w:num>
  <w:num w:numId="21">
    <w:abstractNumId w:val="3"/>
  </w:num>
  <w:num w:numId="22">
    <w:abstractNumId w:val="14"/>
  </w:num>
  <w:num w:numId="23">
    <w:abstractNumId w:val="22"/>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22BF3"/>
    <w:rsid w:val="0003102C"/>
    <w:rsid w:val="00041868"/>
    <w:rsid w:val="00043E9E"/>
    <w:rsid w:val="00045DAB"/>
    <w:rsid w:val="000561B1"/>
    <w:rsid w:val="000866A0"/>
    <w:rsid w:val="000866B5"/>
    <w:rsid w:val="00090FFE"/>
    <w:rsid w:val="000921C8"/>
    <w:rsid w:val="0009524F"/>
    <w:rsid w:val="000A6F6C"/>
    <w:rsid w:val="000D0B39"/>
    <w:rsid w:val="000E72A4"/>
    <w:rsid w:val="000E7D64"/>
    <w:rsid w:val="000F229E"/>
    <w:rsid w:val="00156352"/>
    <w:rsid w:val="001569B2"/>
    <w:rsid w:val="00171B56"/>
    <w:rsid w:val="00173F20"/>
    <w:rsid w:val="00183536"/>
    <w:rsid w:val="0019001E"/>
    <w:rsid w:val="001A3804"/>
    <w:rsid w:val="001A4A30"/>
    <w:rsid w:val="001B21F9"/>
    <w:rsid w:val="001D6D25"/>
    <w:rsid w:val="001D703E"/>
    <w:rsid w:val="00202A5F"/>
    <w:rsid w:val="002255A1"/>
    <w:rsid w:val="00225BF6"/>
    <w:rsid w:val="00231C03"/>
    <w:rsid w:val="00237F6A"/>
    <w:rsid w:val="0024118D"/>
    <w:rsid w:val="0028525E"/>
    <w:rsid w:val="002A450D"/>
    <w:rsid w:val="002A76E3"/>
    <w:rsid w:val="002F22D3"/>
    <w:rsid w:val="003143ED"/>
    <w:rsid w:val="003233D8"/>
    <w:rsid w:val="0032557B"/>
    <w:rsid w:val="00330338"/>
    <w:rsid w:val="00350731"/>
    <w:rsid w:val="00356A64"/>
    <w:rsid w:val="00371B7F"/>
    <w:rsid w:val="003D1513"/>
    <w:rsid w:val="003D533C"/>
    <w:rsid w:val="00414855"/>
    <w:rsid w:val="004321D4"/>
    <w:rsid w:val="00442491"/>
    <w:rsid w:val="00461DFC"/>
    <w:rsid w:val="00472FE3"/>
    <w:rsid w:val="0048599D"/>
    <w:rsid w:val="0048652D"/>
    <w:rsid w:val="004F01F2"/>
    <w:rsid w:val="004F75FC"/>
    <w:rsid w:val="00502223"/>
    <w:rsid w:val="00510E7F"/>
    <w:rsid w:val="00543732"/>
    <w:rsid w:val="0056290E"/>
    <w:rsid w:val="00571E5E"/>
    <w:rsid w:val="005864CF"/>
    <w:rsid w:val="00596AB9"/>
    <w:rsid w:val="005A37A7"/>
    <w:rsid w:val="005B3125"/>
    <w:rsid w:val="005B47E6"/>
    <w:rsid w:val="005E7E5D"/>
    <w:rsid w:val="005F48D4"/>
    <w:rsid w:val="006118CF"/>
    <w:rsid w:val="00612B95"/>
    <w:rsid w:val="0061338D"/>
    <w:rsid w:val="00614626"/>
    <w:rsid w:val="006305DC"/>
    <w:rsid w:val="006373AC"/>
    <w:rsid w:val="006403D1"/>
    <w:rsid w:val="006405BA"/>
    <w:rsid w:val="00644277"/>
    <w:rsid w:val="00647CE4"/>
    <w:rsid w:val="006507CA"/>
    <w:rsid w:val="00651A88"/>
    <w:rsid w:val="00661071"/>
    <w:rsid w:val="00666D86"/>
    <w:rsid w:val="00676554"/>
    <w:rsid w:val="00680ED5"/>
    <w:rsid w:val="00681F8D"/>
    <w:rsid w:val="006A7280"/>
    <w:rsid w:val="006C7AD4"/>
    <w:rsid w:val="006D1F67"/>
    <w:rsid w:val="006D6E34"/>
    <w:rsid w:val="006E6754"/>
    <w:rsid w:val="006E7BC0"/>
    <w:rsid w:val="006F3501"/>
    <w:rsid w:val="006F61B1"/>
    <w:rsid w:val="00703691"/>
    <w:rsid w:val="0071678B"/>
    <w:rsid w:val="00772DC1"/>
    <w:rsid w:val="00787E8B"/>
    <w:rsid w:val="007901E3"/>
    <w:rsid w:val="007928F1"/>
    <w:rsid w:val="007C2D7E"/>
    <w:rsid w:val="007D1D19"/>
    <w:rsid w:val="007D59F2"/>
    <w:rsid w:val="007E3477"/>
    <w:rsid w:val="007E4B4E"/>
    <w:rsid w:val="00806BC6"/>
    <w:rsid w:val="00827536"/>
    <w:rsid w:val="00830D26"/>
    <w:rsid w:val="008A0CFE"/>
    <w:rsid w:val="008B0A60"/>
    <w:rsid w:val="008B55C2"/>
    <w:rsid w:val="008C46C6"/>
    <w:rsid w:val="008F2194"/>
    <w:rsid w:val="008F248D"/>
    <w:rsid w:val="008F534E"/>
    <w:rsid w:val="008F73B8"/>
    <w:rsid w:val="009016D8"/>
    <w:rsid w:val="00906450"/>
    <w:rsid w:val="009138F7"/>
    <w:rsid w:val="00920CC3"/>
    <w:rsid w:val="009217BF"/>
    <w:rsid w:val="0094568B"/>
    <w:rsid w:val="0095056B"/>
    <w:rsid w:val="00972C74"/>
    <w:rsid w:val="00985275"/>
    <w:rsid w:val="009A29AB"/>
    <w:rsid w:val="009A2EA4"/>
    <w:rsid w:val="009A2F55"/>
    <w:rsid w:val="009A5093"/>
    <w:rsid w:val="009C0278"/>
    <w:rsid w:val="009C13FB"/>
    <w:rsid w:val="009E40F6"/>
    <w:rsid w:val="009F10B6"/>
    <w:rsid w:val="009F3148"/>
    <w:rsid w:val="009F48B5"/>
    <w:rsid w:val="00A02CDA"/>
    <w:rsid w:val="00A07A91"/>
    <w:rsid w:val="00A24604"/>
    <w:rsid w:val="00A54283"/>
    <w:rsid w:val="00A736C6"/>
    <w:rsid w:val="00A95C1A"/>
    <w:rsid w:val="00AA03BF"/>
    <w:rsid w:val="00AC562C"/>
    <w:rsid w:val="00AD66C3"/>
    <w:rsid w:val="00AF0D9B"/>
    <w:rsid w:val="00AF197D"/>
    <w:rsid w:val="00B04949"/>
    <w:rsid w:val="00B316F2"/>
    <w:rsid w:val="00B34EB5"/>
    <w:rsid w:val="00B40745"/>
    <w:rsid w:val="00B46545"/>
    <w:rsid w:val="00B527CE"/>
    <w:rsid w:val="00B54602"/>
    <w:rsid w:val="00B57215"/>
    <w:rsid w:val="00B7148B"/>
    <w:rsid w:val="00B75C35"/>
    <w:rsid w:val="00B7767A"/>
    <w:rsid w:val="00B87B35"/>
    <w:rsid w:val="00B87FC4"/>
    <w:rsid w:val="00B93DC4"/>
    <w:rsid w:val="00B940FE"/>
    <w:rsid w:val="00BA20D7"/>
    <w:rsid w:val="00BB6EFB"/>
    <w:rsid w:val="00BF3768"/>
    <w:rsid w:val="00C00A59"/>
    <w:rsid w:val="00C05706"/>
    <w:rsid w:val="00C1097B"/>
    <w:rsid w:val="00C32CF8"/>
    <w:rsid w:val="00C41A12"/>
    <w:rsid w:val="00C44FB1"/>
    <w:rsid w:val="00C51634"/>
    <w:rsid w:val="00C541DA"/>
    <w:rsid w:val="00C80EF7"/>
    <w:rsid w:val="00C9217C"/>
    <w:rsid w:val="00C949B4"/>
    <w:rsid w:val="00CA5498"/>
    <w:rsid w:val="00CC4E65"/>
    <w:rsid w:val="00CD50D0"/>
    <w:rsid w:val="00CE19AC"/>
    <w:rsid w:val="00CE3111"/>
    <w:rsid w:val="00CF76DA"/>
    <w:rsid w:val="00D1252A"/>
    <w:rsid w:val="00D15556"/>
    <w:rsid w:val="00D50140"/>
    <w:rsid w:val="00D55C71"/>
    <w:rsid w:val="00D76A8F"/>
    <w:rsid w:val="00D80A8C"/>
    <w:rsid w:val="00D90056"/>
    <w:rsid w:val="00DB4FCF"/>
    <w:rsid w:val="00DC7DDA"/>
    <w:rsid w:val="00E14CC3"/>
    <w:rsid w:val="00E2528D"/>
    <w:rsid w:val="00E36738"/>
    <w:rsid w:val="00E36A08"/>
    <w:rsid w:val="00E37FB3"/>
    <w:rsid w:val="00E411FE"/>
    <w:rsid w:val="00E4177E"/>
    <w:rsid w:val="00E430BA"/>
    <w:rsid w:val="00E516A9"/>
    <w:rsid w:val="00E67D93"/>
    <w:rsid w:val="00E7595A"/>
    <w:rsid w:val="00E85281"/>
    <w:rsid w:val="00E86DDF"/>
    <w:rsid w:val="00EC0ACF"/>
    <w:rsid w:val="00EC2BFB"/>
    <w:rsid w:val="00EC6303"/>
    <w:rsid w:val="00EE0942"/>
    <w:rsid w:val="00EE1722"/>
    <w:rsid w:val="00EF4B03"/>
    <w:rsid w:val="00EF79A2"/>
    <w:rsid w:val="00F410D1"/>
    <w:rsid w:val="00F615F9"/>
    <w:rsid w:val="00F819D5"/>
    <w:rsid w:val="00F96DCC"/>
    <w:rsid w:val="00FA30A2"/>
    <w:rsid w:val="00FB7CC9"/>
    <w:rsid w:val="00FC74FC"/>
    <w:rsid w:val="00FD0060"/>
    <w:rsid w:val="00FD4BBB"/>
    <w:rsid w:val="00FD719B"/>
    <w:rsid w:val="00FE5721"/>
    <w:rsid w:val="00FE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shapedefaults>
    <o:shapelayout v:ext="edit">
      <o:idmap v:ext="edit" data="1"/>
    </o:shapelayout>
  </w:shapeDefaults>
  <w:decimalSymbol w:val="."/>
  <w:listSeparator w:val=","/>
  <w14:docId w14:val="0966EE21"/>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E36A08"/>
    <w:rPr>
      <w:color w:val="605E5C"/>
      <w:shd w:val="clear" w:color="auto" w:fill="E1DFDD"/>
    </w:rPr>
  </w:style>
  <w:style w:type="character" w:styleId="CommentReference">
    <w:name w:val="annotation reference"/>
    <w:basedOn w:val="DefaultParagraphFont"/>
    <w:uiPriority w:val="99"/>
    <w:semiHidden/>
    <w:unhideWhenUsed/>
    <w:rsid w:val="00806BC6"/>
    <w:rPr>
      <w:sz w:val="16"/>
      <w:szCs w:val="16"/>
    </w:rPr>
  </w:style>
  <w:style w:type="paragraph" w:styleId="CommentText">
    <w:name w:val="annotation text"/>
    <w:basedOn w:val="Normal"/>
    <w:link w:val="CommentTextChar"/>
    <w:uiPriority w:val="99"/>
    <w:semiHidden/>
    <w:unhideWhenUsed/>
    <w:rsid w:val="00806BC6"/>
    <w:pPr>
      <w:spacing w:line="240" w:lineRule="auto"/>
    </w:pPr>
    <w:rPr>
      <w:sz w:val="20"/>
      <w:szCs w:val="20"/>
    </w:rPr>
  </w:style>
  <w:style w:type="character" w:customStyle="1" w:styleId="CommentTextChar">
    <w:name w:val="Comment Text Char"/>
    <w:basedOn w:val="DefaultParagraphFont"/>
    <w:link w:val="CommentText"/>
    <w:uiPriority w:val="99"/>
    <w:semiHidden/>
    <w:rsid w:val="00806BC6"/>
    <w:rPr>
      <w:sz w:val="20"/>
      <w:szCs w:val="20"/>
    </w:rPr>
  </w:style>
  <w:style w:type="paragraph" w:styleId="CommentSubject">
    <w:name w:val="annotation subject"/>
    <w:basedOn w:val="CommentText"/>
    <w:next w:val="CommentText"/>
    <w:link w:val="CommentSubjectChar"/>
    <w:uiPriority w:val="99"/>
    <w:semiHidden/>
    <w:unhideWhenUsed/>
    <w:rsid w:val="00806BC6"/>
    <w:rPr>
      <w:b/>
      <w:bCs/>
    </w:rPr>
  </w:style>
  <w:style w:type="character" w:customStyle="1" w:styleId="CommentSubjectChar">
    <w:name w:val="Comment Subject Char"/>
    <w:basedOn w:val="CommentTextChar"/>
    <w:link w:val="CommentSubject"/>
    <w:uiPriority w:val="99"/>
    <w:semiHidden/>
    <w:rsid w:val="00806BC6"/>
    <w:rPr>
      <w:b/>
      <w:bCs/>
      <w:sz w:val="20"/>
      <w:szCs w:val="20"/>
    </w:rPr>
  </w:style>
  <w:style w:type="character" w:customStyle="1" w:styleId="UnresolvedMention2">
    <w:name w:val="Unresolved Mention2"/>
    <w:basedOn w:val="DefaultParagraphFont"/>
    <w:uiPriority w:val="99"/>
    <w:semiHidden/>
    <w:unhideWhenUsed/>
    <w:rsid w:val="00D1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142356657">
      <w:bodyDiv w:val="1"/>
      <w:marLeft w:val="0"/>
      <w:marRight w:val="0"/>
      <w:marTop w:val="0"/>
      <w:marBottom w:val="0"/>
      <w:divBdr>
        <w:top w:val="none" w:sz="0" w:space="0" w:color="auto"/>
        <w:left w:val="none" w:sz="0" w:space="0" w:color="auto"/>
        <w:bottom w:val="none" w:sz="0" w:space="0" w:color="auto"/>
        <w:right w:val="none" w:sz="0" w:space="0" w:color="auto"/>
      </w:divBdr>
    </w:div>
    <w:div w:id="207842964">
      <w:bodyDiv w:val="1"/>
      <w:marLeft w:val="0"/>
      <w:marRight w:val="0"/>
      <w:marTop w:val="0"/>
      <w:marBottom w:val="0"/>
      <w:divBdr>
        <w:top w:val="none" w:sz="0" w:space="0" w:color="auto"/>
        <w:left w:val="none" w:sz="0" w:space="0" w:color="auto"/>
        <w:bottom w:val="none" w:sz="0" w:space="0" w:color="auto"/>
        <w:right w:val="none" w:sz="0" w:space="0" w:color="auto"/>
      </w:divBdr>
    </w:div>
    <w:div w:id="314378394">
      <w:bodyDiv w:val="1"/>
      <w:marLeft w:val="0"/>
      <w:marRight w:val="0"/>
      <w:marTop w:val="0"/>
      <w:marBottom w:val="0"/>
      <w:divBdr>
        <w:top w:val="none" w:sz="0" w:space="0" w:color="auto"/>
        <w:left w:val="none" w:sz="0" w:space="0" w:color="auto"/>
        <w:bottom w:val="none" w:sz="0" w:space="0" w:color="auto"/>
        <w:right w:val="none" w:sz="0" w:space="0" w:color="auto"/>
      </w:divBdr>
    </w:div>
    <w:div w:id="389886174">
      <w:bodyDiv w:val="1"/>
      <w:marLeft w:val="0"/>
      <w:marRight w:val="0"/>
      <w:marTop w:val="0"/>
      <w:marBottom w:val="0"/>
      <w:divBdr>
        <w:top w:val="none" w:sz="0" w:space="0" w:color="auto"/>
        <w:left w:val="none" w:sz="0" w:space="0" w:color="auto"/>
        <w:bottom w:val="none" w:sz="0" w:space="0" w:color="auto"/>
        <w:right w:val="none" w:sz="0" w:space="0" w:color="auto"/>
      </w:divBdr>
    </w:div>
    <w:div w:id="521238348">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856042226">
      <w:bodyDiv w:val="1"/>
      <w:marLeft w:val="0"/>
      <w:marRight w:val="0"/>
      <w:marTop w:val="0"/>
      <w:marBottom w:val="0"/>
      <w:divBdr>
        <w:top w:val="none" w:sz="0" w:space="0" w:color="auto"/>
        <w:left w:val="none" w:sz="0" w:space="0" w:color="auto"/>
        <w:bottom w:val="none" w:sz="0" w:space="0" w:color="auto"/>
        <w:right w:val="none" w:sz="0" w:space="0" w:color="auto"/>
      </w:divBdr>
    </w:div>
    <w:div w:id="947001956">
      <w:bodyDiv w:val="1"/>
      <w:marLeft w:val="0"/>
      <w:marRight w:val="0"/>
      <w:marTop w:val="0"/>
      <w:marBottom w:val="0"/>
      <w:divBdr>
        <w:top w:val="none" w:sz="0" w:space="0" w:color="auto"/>
        <w:left w:val="none" w:sz="0" w:space="0" w:color="auto"/>
        <w:bottom w:val="none" w:sz="0" w:space="0" w:color="auto"/>
        <w:right w:val="none" w:sz="0" w:space="0" w:color="auto"/>
      </w:divBdr>
    </w:div>
    <w:div w:id="979191429">
      <w:bodyDiv w:val="1"/>
      <w:marLeft w:val="0"/>
      <w:marRight w:val="0"/>
      <w:marTop w:val="0"/>
      <w:marBottom w:val="0"/>
      <w:divBdr>
        <w:top w:val="none" w:sz="0" w:space="0" w:color="auto"/>
        <w:left w:val="none" w:sz="0" w:space="0" w:color="auto"/>
        <w:bottom w:val="none" w:sz="0" w:space="0" w:color="auto"/>
        <w:right w:val="none" w:sz="0" w:space="0" w:color="auto"/>
      </w:divBdr>
    </w:div>
    <w:div w:id="993222208">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31030261">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138913764">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417434768">
      <w:bodyDiv w:val="1"/>
      <w:marLeft w:val="0"/>
      <w:marRight w:val="0"/>
      <w:marTop w:val="0"/>
      <w:marBottom w:val="0"/>
      <w:divBdr>
        <w:top w:val="none" w:sz="0" w:space="0" w:color="auto"/>
        <w:left w:val="none" w:sz="0" w:space="0" w:color="auto"/>
        <w:bottom w:val="none" w:sz="0" w:space="0" w:color="auto"/>
        <w:right w:val="none" w:sz="0" w:space="0" w:color="auto"/>
      </w:divBdr>
    </w:div>
    <w:div w:id="1457798352">
      <w:bodyDiv w:val="1"/>
      <w:marLeft w:val="0"/>
      <w:marRight w:val="0"/>
      <w:marTop w:val="0"/>
      <w:marBottom w:val="0"/>
      <w:divBdr>
        <w:top w:val="none" w:sz="0" w:space="0" w:color="auto"/>
        <w:left w:val="none" w:sz="0" w:space="0" w:color="auto"/>
        <w:bottom w:val="none" w:sz="0" w:space="0" w:color="auto"/>
        <w:right w:val="none" w:sz="0" w:space="0" w:color="auto"/>
      </w:divBdr>
    </w:div>
    <w:div w:id="1518881430">
      <w:bodyDiv w:val="1"/>
      <w:marLeft w:val="0"/>
      <w:marRight w:val="0"/>
      <w:marTop w:val="0"/>
      <w:marBottom w:val="0"/>
      <w:divBdr>
        <w:top w:val="none" w:sz="0" w:space="0" w:color="auto"/>
        <w:left w:val="none" w:sz="0" w:space="0" w:color="auto"/>
        <w:bottom w:val="none" w:sz="0" w:space="0" w:color="auto"/>
        <w:right w:val="none" w:sz="0" w:space="0" w:color="auto"/>
      </w:divBdr>
    </w:div>
    <w:div w:id="1523663725">
      <w:bodyDiv w:val="1"/>
      <w:marLeft w:val="0"/>
      <w:marRight w:val="0"/>
      <w:marTop w:val="0"/>
      <w:marBottom w:val="0"/>
      <w:divBdr>
        <w:top w:val="none" w:sz="0" w:space="0" w:color="auto"/>
        <w:left w:val="none" w:sz="0" w:space="0" w:color="auto"/>
        <w:bottom w:val="none" w:sz="0" w:space="0" w:color="auto"/>
        <w:right w:val="none" w:sz="0" w:space="0" w:color="auto"/>
      </w:divBdr>
    </w:div>
    <w:div w:id="1530072045">
      <w:bodyDiv w:val="1"/>
      <w:marLeft w:val="0"/>
      <w:marRight w:val="0"/>
      <w:marTop w:val="0"/>
      <w:marBottom w:val="0"/>
      <w:divBdr>
        <w:top w:val="none" w:sz="0" w:space="0" w:color="auto"/>
        <w:left w:val="none" w:sz="0" w:space="0" w:color="auto"/>
        <w:bottom w:val="none" w:sz="0" w:space="0" w:color="auto"/>
        <w:right w:val="none" w:sz="0" w:space="0" w:color="auto"/>
      </w:divBdr>
    </w:div>
    <w:div w:id="1573468244">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619021481">
      <w:bodyDiv w:val="1"/>
      <w:marLeft w:val="0"/>
      <w:marRight w:val="0"/>
      <w:marTop w:val="0"/>
      <w:marBottom w:val="0"/>
      <w:divBdr>
        <w:top w:val="none" w:sz="0" w:space="0" w:color="auto"/>
        <w:left w:val="none" w:sz="0" w:space="0" w:color="auto"/>
        <w:bottom w:val="none" w:sz="0" w:space="0" w:color="auto"/>
        <w:right w:val="none" w:sz="0" w:space="0" w:color="auto"/>
      </w:divBdr>
    </w:div>
    <w:div w:id="1645506845">
      <w:bodyDiv w:val="1"/>
      <w:marLeft w:val="0"/>
      <w:marRight w:val="0"/>
      <w:marTop w:val="0"/>
      <w:marBottom w:val="0"/>
      <w:divBdr>
        <w:top w:val="none" w:sz="0" w:space="0" w:color="auto"/>
        <w:left w:val="none" w:sz="0" w:space="0" w:color="auto"/>
        <w:bottom w:val="none" w:sz="0" w:space="0" w:color="auto"/>
        <w:right w:val="none" w:sz="0" w:space="0" w:color="auto"/>
      </w:divBdr>
    </w:div>
    <w:div w:id="1696928907">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801074667">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17023068">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sites/default/files/lifespan-ra-cap-signed.pdf" TargetMode="External"/><Relationship Id="rId13" Type="http://schemas.openxmlformats.org/officeDocument/2006/relationships/hyperlink" Target="https://www.samhsa.gov/newsroom/press-announcements/2020071313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samhsa.gov/newsroom/press-announcements/2020071311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hhs.ca.gov/ohii/shipm/statewide-health-information-policy-manual-shipm-documents-version-6-2020/" TargetMode="External"/><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hyperlink" Target="https://www.hhs.gov/sites/default/files/metro-signed-agreement.pdf" TargetMode="External"/><Relationship Id="rId4" Type="http://schemas.openxmlformats.org/officeDocument/2006/relationships/webSettings" Target="webSettings.xml"/><Relationship Id="rId9" Type="http://schemas.openxmlformats.org/officeDocument/2006/relationships/hyperlink" Target="https://www.chhs.ca.gov/ohii/shipm/statewide-health-information-policy-manual-shipm-documents-version-6-2020/" TargetMode="External"/><Relationship Id="rId14" Type="http://schemas.openxmlformats.org/officeDocument/2006/relationships/hyperlink" Target="https://www.reginfo.gov/public/do/eAgend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2</cp:revision>
  <cp:lastPrinted>2020-05-26T17:31:00Z</cp:lastPrinted>
  <dcterms:created xsi:type="dcterms:W3CDTF">2020-08-03T14:35:00Z</dcterms:created>
  <dcterms:modified xsi:type="dcterms:W3CDTF">2020-08-03T14:35:00Z</dcterms:modified>
</cp:coreProperties>
</file>